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6F50" w:rsidRDefault="00BC0B96">
      <w:pPr>
        <w:spacing w:after="240"/>
        <w:jc w:val="center"/>
        <w:rPr>
          <w:b/>
        </w:rPr>
      </w:pPr>
      <w:r>
        <w:rPr>
          <w:b/>
        </w:rPr>
        <w:t>Sabiedrības iebildumi un priekšlikumi</w:t>
      </w:r>
    </w:p>
    <w:tbl>
      <w:tblPr>
        <w:tblStyle w:val="a"/>
        <w:tblW w:w="14567"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750"/>
        <w:gridCol w:w="2302"/>
        <w:gridCol w:w="4961"/>
        <w:gridCol w:w="2127"/>
        <w:gridCol w:w="4427"/>
      </w:tblGrid>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proofErr w:type="spellStart"/>
            <w:r>
              <w:rPr>
                <w:b/>
              </w:rPr>
              <w:t>Nr.p.k</w:t>
            </w:r>
            <w:proofErr w:type="spellEnd"/>
            <w:r>
              <w:rPr>
                <w:b/>
              </w:rPr>
              <w:t>.</w:t>
            </w:r>
          </w:p>
        </w:tc>
        <w:tc>
          <w:tcPr>
            <w:tcW w:w="2302" w:type="dxa"/>
            <w:shd w:val="clear" w:color="auto" w:fill="FFFFFF"/>
            <w:noWrap/>
            <w:tcMar>
              <w:top w:w="75" w:type="dxa"/>
              <w:left w:w="75" w:type="dxa"/>
              <w:bottom w:w="75" w:type="dxa"/>
              <w:right w:w="75" w:type="dxa"/>
            </w:tcMar>
            <w:vAlign w:val="center"/>
          </w:tcPr>
          <w:p w:rsidR="004A6F50" w:rsidRDefault="00BC0B96">
            <w:pPr>
              <w:jc w:val="center"/>
            </w:pPr>
            <w:r>
              <w:rPr>
                <w:b/>
              </w:rPr>
              <w:t>Iebilduma / priekšlikuma iesniedzējs</w:t>
            </w:r>
          </w:p>
        </w:tc>
        <w:tc>
          <w:tcPr>
            <w:tcW w:w="4961" w:type="dxa"/>
            <w:shd w:val="clear" w:color="auto" w:fill="FFFFFF"/>
            <w:noWrap/>
            <w:tcMar>
              <w:top w:w="75" w:type="dxa"/>
              <w:left w:w="75" w:type="dxa"/>
              <w:bottom w:w="75" w:type="dxa"/>
              <w:right w:w="75" w:type="dxa"/>
            </w:tcMar>
            <w:vAlign w:val="center"/>
          </w:tcPr>
          <w:p w:rsidR="004A6F50" w:rsidRDefault="00BC0B96">
            <w:pPr>
              <w:jc w:val="center"/>
            </w:pPr>
            <w:r>
              <w:rPr>
                <w:b/>
              </w:rPr>
              <w:t>Iesniegtā iebilduma / priekšlikuma būtība</w:t>
            </w:r>
          </w:p>
        </w:tc>
        <w:tc>
          <w:tcPr>
            <w:tcW w:w="2127" w:type="dxa"/>
            <w:shd w:val="clear" w:color="auto" w:fill="FFFFFF"/>
            <w:noWrap/>
            <w:tcMar>
              <w:top w:w="75" w:type="dxa"/>
              <w:left w:w="75" w:type="dxa"/>
              <w:bottom w:w="75" w:type="dxa"/>
              <w:right w:w="75" w:type="dxa"/>
            </w:tcMar>
            <w:vAlign w:val="center"/>
          </w:tcPr>
          <w:p w:rsidR="004A6F50" w:rsidRDefault="00BC0B96">
            <w:pPr>
              <w:jc w:val="center"/>
            </w:pPr>
            <w:r>
              <w:rPr>
                <w:b/>
              </w:rPr>
              <w:t>Ņemts vērā / nav ņemts vērā</w:t>
            </w:r>
          </w:p>
        </w:tc>
        <w:tc>
          <w:tcPr>
            <w:tcW w:w="4427" w:type="dxa"/>
            <w:shd w:val="clear" w:color="auto" w:fill="FFFFFF"/>
            <w:noWrap/>
            <w:tcMar>
              <w:top w:w="75" w:type="dxa"/>
              <w:left w:w="75" w:type="dxa"/>
              <w:bottom w:w="75" w:type="dxa"/>
              <w:right w:w="75" w:type="dxa"/>
            </w:tcMar>
            <w:vAlign w:val="center"/>
          </w:tcPr>
          <w:p w:rsidR="004A6F50" w:rsidRDefault="00BC0B96">
            <w:pPr>
              <w:jc w:val="center"/>
            </w:pPr>
            <w:r>
              <w:rPr>
                <w:b/>
              </w:rPr>
              <w:t>Pamatojums, ja iebildums / priekšlikums nav ņemts vērā</w:t>
            </w:r>
          </w:p>
        </w:tc>
      </w:tr>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r>
              <w:t>1.</w:t>
            </w:r>
          </w:p>
        </w:tc>
        <w:tc>
          <w:tcPr>
            <w:tcW w:w="2302" w:type="dxa"/>
            <w:shd w:val="clear" w:color="auto" w:fill="FFFFFF"/>
            <w:noWrap/>
            <w:tcMar>
              <w:top w:w="75" w:type="dxa"/>
              <w:left w:w="75" w:type="dxa"/>
              <w:bottom w:w="75" w:type="dxa"/>
              <w:right w:w="75" w:type="dxa"/>
            </w:tcMar>
            <w:vAlign w:val="center"/>
          </w:tcPr>
          <w:p w:rsidR="004A6F50" w:rsidRDefault="00BC0B96">
            <w:pPr>
              <w:jc w:val="left"/>
            </w:pPr>
            <w:r>
              <w:t>Fiziska persona</w:t>
            </w:r>
          </w:p>
        </w:tc>
        <w:tc>
          <w:tcPr>
            <w:tcW w:w="4961" w:type="dxa"/>
            <w:shd w:val="clear" w:color="auto" w:fill="FFFFFF"/>
            <w:noWrap/>
            <w:tcMar>
              <w:top w:w="75" w:type="dxa"/>
              <w:left w:w="75" w:type="dxa"/>
              <w:bottom w:w="75" w:type="dxa"/>
              <w:right w:w="75" w:type="dxa"/>
            </w:tcMar>
            <w:vAlign w:val="center"/>
          </w:tcPr>
          <w:p w:rsidR="004A6F50" w:rsidRDefault="00BC0B96">
            <w:pPr>
              <w:jc w:val="left"/>
            </w:pPr>
            <w:r>
              <w:t>Nodeva par pases izsniegšanu ir aprēķināta nekorekti, tajā iekļaujot izdevumus, kas nav attiecināmi uz konkrēto pasu izsniegšanu:</w:t>
            </w:r>
            <w:r>
              <w:br/>
              <w:t>1) Izdevumu EKK pozīcijā 2200 ir iekļauti 410 776€, no kuru detalizācijas izriet, ka šie izdevumi attiecināmi uz pilnīgi visu personu apliecinošo dokumentu (ne tikai pasu) izsniegšanu, piemēram–</w:t>
            </w:r>
            <w:r>
              <w:br/>
              <w:t>* Centralizētā rindas pieraksta sistēma 25 nodaļās - 50 675€/gadā - attiecināma uz visiem pakalpojumiem, ne tikai pasu izsniegšanu;</w:t>
            </w:r>
            <w:r>
              <w:br/>
              <w:t xml:space="preserve">* Karšu </w:t>
            </w:r>
            <w:proofErr w:type="spellStart"/>
            <w:r>
              <w:t>personalizācijas</w:t>
            </w:r>
            <w:proofErr w:type="spellEnd"/>
            <w:r>
              <w:t xml:space="preserve"> sistēmas uzturēšana (0-garantija) - 84 700€/gadā - attiecināma tikai uz </w:t>
            </w:r>
            <w:proofErr w:type="spellStart"/>
            <w:r>
              <w:t>eID</w:t>
            </w:r>
            <w:proofErr w:type="spellEnd"/>
            <w:r>
              <w:t xml:space="preserve"> kartēm, bet nekādā gadījumā uz pasu izsniegšanu;</w:t>
            </w:r>
            <w:r>
              <w:br/>
              <w:t>* SMS apziņošanas izmaksas 21000€/gadā - attiecināma uz visiem PAD izsniegšanas pakalpojumiem, ne tikai pasu izsniegšanu;</w:t>
            </w:r>
            <w:r>
              <w:br/>
              <w:t>* u.tml.</w:t>
            </w:r>
            <w:r>
              <w:br/>
              <w:t xml:space="preserve">2) Šajā pašā pozīcijā lietots koeficients </w:t>
            </w:r>
            <w:r>
              <w:lastRenderedPageBreak/>
              <w:t>0,0001, it kā pieņemot, ka gadā tiek izsniegtas 10000 pases. Tomēr anotācijas 1.pielikumā aprēķinā norādīts, ka 2024.gadā plānots izsniegt 176000 pases, kas nozīmē, ka būtu jāpielieto koeficients 1/176000.</w:t>
            </w:r>
            <w:r>
              <w:br/>
              <w:t>Tomēr, ņemot vērā, ka šajā pozīcijā esošie izdevumi attiecas arī uz personas apliecību sagatavošanu un izsniegšanu, būtu jāpiemēro koeficients 1/(kopējais personas apliecību un pasu skaits gadā)</w:t>
            </w:r>
          </w:p>
        </w:tc>
        <w:tc>
          <w:tcPr>
            <w:tcW w:w="2127" w:type="dxa"/>
            <w:shd w:val="clear" w:color="auto" w:fill="FFFFFF"/>
            <w:noWrap/>
            <w:tcMar>
              <w:top w:w="75" w:type="dxa"/>
              <w:left w:w="75" w:type="dxa"/>
              <w:bottom w:w="75" w:type="dxa"/>
              <w:right w:w="75" w:type="dxa"/>
            </w:tcMar>
            <w:vAlign w:val="center"/>
          </w:tcPr>
          <w:p w:rsidR="004A6F50" w:rsidRDefault="00B926E9" w:rsidP="00B926E9">
            <w:pPr>
              <w:jc w:val="center"/>
            </w:pPr>
            <w:r>
              <w:lastRenderedPageBreak/>
              <w:t>Ņemts vērā</w:t>
            </w:r>
          </w:p>
        </w:tc>
        <w:tc>
          <w:tcPr>
            <w:tcW w:w="4427" w:type="dxa"/>
            <w:shd w:val="clear" w:color="auto" w:fill="FFFFFF"/>
            <w:noWrap/>
            <w:tcMar>
              <w:top w:w="75" w:type="dxa"/>
              <w:left w:w="75" w:type="dxa"/>
              <w:bottom w:w="75" w:type="dxa"/>
              <w:right w:w="75" w:type="dxa"/>
            </w:tcMar>
            <w:vAlign w:val="center"/>
          </w:tcPr>
          <w:p w:rsidR="004A6F50" w:rsidRDefault="00DB2BC6" w:rsidP="00A22B85">
            <w:r>
              <w:t xml:space="preserve">Sākotnējā projektā valsts nodeva par pases izsniegšanu tika paredzēta 60 </w:t>
            </w:r>
            <w:proofErr w:type="spellStart"/>
            <w:r>
              <w:rPr>
                <w:rStyle w:val="scayt-misspell-word"/>
                <w:i/>
                <w:iCs/>
              </w:rPr>
              <w:t>euro</w:t>
            </w:r>
            <w:proofErr w:type="spellEnd"/>
            <w:r>
              <w:rPr>
                <w:rStyle w:val="Emphasis"/>
              </w:rPr>
              <w:t> </w:t>
            </w:r>
            <w:r>
              <w:t xml:space="preserve">apmērā. Valsts nodevas aprēķinā tika iekļautas izmaksas, kas saistītas ar personu apliecinošu dokumentu noformēšanas procesu kopumā, tai skaitā nepieciešamās izmaksas, lai uzturētu, attīstītu procesa nodrošināšanai nepieciešamās informācijas sistēmas un nodrošinātu to darbības nepārtrauktību. Aprēķinā tika iekļautas izmaksas, kas nepieciešamas personu apliecinošu dokumentu izsniegšanai nepieciešamā tehniskā aprīkojuma nodrošināšanai. Personu apliecinošu dokumentu izsniegšana nav iespējama bez attiecīgas infrastruktūras, informācijas sistēmām, tai skaitā ņemot vērā, ka personu apliecinošu dokumentu noformēšana tiek nodrošināta arī ārvalstīs un ir jānodrošina gan dokumenta, gan izsniegšanas procesa drošība un nepārtrauktība. Valsts nodevas aprēķinā tika iekļautas arī izmaksas, kas </w:t>
            </w:r>
            <w:r w:rsidRPr="00F770C9">
              <w:rPr>
                <w:szCs w:val="28"/>
              </w:rPr>
              <w:t xml:space="preserve">nepieciešamas </w:t>
            </w:r>
            <w:r>
              <w:rPr>
                <w:szCs w:val="28"/>
              </w:rPr>
              <w:t xml:space="preserve">fizisko personu identitātes nodrošināšanai elektroniskā vidē un kvalificēta elektroniskā paraksta platformas un risinājumu uzturēšanai. </w:t>
            </w:r>
            <w:commentRangeStart w:id="0"/>
            <w:r>
              <w:t>Ņemot vērā sabiedrības iesaisti</w:t>
            </w:r>
            <w:bookmarkStart w:id="1" w:name="_GoBack"/>
            <w:bookmarkEnd w:id="1"/>
            <w:commentRangeEnd w:id="0"/>
            <w:r>
              <w:t xml:space="preserve">, tika veikts atkārtots </w:t>
            </w:r>
            <w:proofErr w:type="spellStart"/>
            <w:r>
              <w:t>izvērtējums</w:t>
            </w:r>
            <w:proofErr w:type="spellEnd"/>
            <w:r>
              <w:t xml:space="preserve"> un rasta iespēja daļu valsts nodevas aprēķinā iekļauto izmaksu segšanu nodrošināt no citiem avotiem un valsts nodevu par pases izsniegšanu paredzēt 34 </w:t>
            </w:r>
            <w:proofErr w:type="spellStart"/>
            <w:r>
              <w:rPr>
                <w:rStyle w:val="scayt-misspell-word"/>
                <w:i/>
                <w:iCs/>
              </w:rPr>
              <w:t>euro</w:t>
            </w:r>
            <w:proofErr w:type="spellEnd"/>
            <w:r>
              <w:rPr>
                <w:rStyle w:val="Emphasis"/>
              </w:rPr>
              <w:t xml:space="preserve"> </w:t>
            </w:r>
            <w:r>
              <w:t>apmērā. </w:t>
            </w:r>
            <w:r>
              <w:br/>
              <w:t>Līdz ar to projektā sākotnēji plānotais valsts nodevas apmērs ir pārskatīts un samazināts, ievērojot, ka valsts nodevas par personu apliecinošu dokumentu izsniegšanu apmēra aprēķinā netiek iekļauti izdevumi saistībā ar:</w:t>
            </w:r>
            <w:r>
              <w:br/>
              <w:t xml:space="preserve">- </w:t>
            </w:r>
            <w:r>
              <w:rPr>
                <w:rStyle w:val="Emphasis"/>
              </w:rPr>
              <w:t>uzticamu sertifikācijas pakalpojumu sniegšanu</w:t>
            </w:r>
            <w:r>
              <w:t>, jo minētie izdevumi faktiski tikai daļēji tiek segti no ieņēmumiem no valsts nodevas, un tiek segti arī no citiem avotiem (tai skaitā, kapitālsabiedrību valstij izmaksātajām dividendēm);</w:t>
            </w:r>
            <w:r>
              <w:br/>
              <w:t xml:space="preserve">- </w:t>
            </w:r>
            <w:r>
              <w:rPr>
                <w:rStyle w:val="Emphasis"/>
              </w:rPr>
              <w:t>informācijas sistēmu attīstību</w:t>
            </w:r>
            <w:r>
              <w:t>, jo tam piesaistāms ES politiku instrumentu finansējums.</w:t>
            </w:r>
          </w:p>
        </w:tc>
      </w:tr>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r>
              <w:lastRenderedPageBreak/>
              <w:t>2.</w:t>
            </w:r>
          </w:p>
        </w:tc>
        <w:tc>
          <w:tcPr>
            <w:tcW w:w="2302" w:type="dxa"/>
            <w:shd w:val="clear" w:color="auto" w:fill="FFFFFF"/>
            <w:noWrap/>
            <w:tcMar>
              <w:top w:w="75" w:type="dxa"/>
              <w:left w:w="75" w:type="dxa"/>
              <w:bottom w:w="75" w:type="dxa"/>
              <w:right w:w="75" w:type="dxa"/>
            </w:tcMar>
            <w:vAlign w:val="center"/>
          </w:tcPr>
          <w:p w:rsidR="004A6F50" w:rsidRDefault="00BC0B96">
            <w:pPr>
              <w:jc w:val="left"/>
            </w:pPr>
            <w:r>
              <w:t>Ilmārs Poikāns</w:t>
            </w:r>
          </w:p>
        </w:tc>
        <w:tc>
          <w:tcPr>
            <w:tcW w:w="4961" w:type="dxa"/>
            <w:shd w:val="clear" w:color="auto" w:fill="FFFFFF"/>
            <w:noWrap/>
            <w:tcMar>
              <w:top w:w="75" w:type="dxa"/>
              <w:left w:w="75" w:type="dxa"/>
              <w:bottom w:w="75" w:type="dxa"/>
              <w:right w:w="75" w:type="dxa"/>
            </w:tcMar>
            <w:vAlign w:val="center"/>
          </w:tcPr>
          <w:p w:rsidR="004A6F50" w:rsidRDefault="00BC0B96">
            <w:pPr>
              <w:jc w:val="left"/>
            </w:pPr>
            <w:r>
              <w:t xml:space="preserve">Anotācijā Nodevas par pasu izsniegšanu apmēra aprēķinā </w:t>
            </w:r>
            <w:proofErr w:type="spellStart"/>
            <w:r>
              <w:t>kopsuma</w:t>
            </w:r>
            <w:proofErr w:type="spellEnd"/>
            <w:r>
              <w:t xml:space="preserve"> precīzi 60,00 ar lielu varbūtību norāda uz to, ka aprēķins tiek piedzīts kaut kādam vēlamam rezultātam, nevis ir balstīts uz reālu aprēķinu. Varbūtība kopsummā iegūt 60,00 nav 0, bet ticamība aprēķinam zūd. Nebūtu nekādu pretenziju, ja neapaļš rezultāts tiktu noapaļots, lai vieglāki norēķini.</w:t>
            </w:r>
            <w:r>
              <w:br/>
            </w:r>
            <w:r>
              <w:br/>
              <w:t>Visvairāk jautājumu rodas par sadaļu izdevumu sadaļu 2200, kurā izdevumiem 410 776 tiek piemērots koeficients 0,0001, lai gan pēc pielikumā norādītiem datiem, 2024. gadā plānots izsniegt 176 003 pases. Tas nozīmē, ka koeficientam būtu jābūt vismaz par kārtu mazākam jeb ne lielākam par 0,00001. Ja šajā sadaļā ir iekļautas vēl kādas izmaksas, tad tās nav norādīts un maldina anotācijas lasītāju.</w:t>
            </w:r>
            <w:r>
              <w:br/>
            </w:r>
            <w:r>
              <w:br/>
            </w:r>
            <w:r>
              <w:lastRenderedPageBreak/>
              <w:t xml:space="preserve">Anotācijā nav paskaidrots, kāpēc tik būtiski (vairāk nekā 2 reizes) ir samazināts plānotais izsniegto pasu skaits 2024. gadā, kas ļoti būtiski ietekmē vienas pases nodevas aprēķinu. Šajā anotācijā figurē skaitlis 176 003, bet vēl 02.07.2023. publicētajā "Pilsonības un migrācijas lietu pārvaldes Darbības rezultāti un to rezultatīvie rādītāji no 2021. līdz 2025. gadam" 2024. gadā tika prognozēts izsniegt 375 835 pases. Skat.  </w:t>
            </w:r>
            <w:hyperlink r:id="rId6" w:history="1">
              <w:r w:rsidR="00D64529" w:rsidRPr="00717922">
                <w:rPr>
                  <w:rStyle w:val="Hyperlink"/>
                </w:rPr>
                <w:t>https://www.fm.gov.lv/lv/110100-pilsonibas-un-migracijas-lietu-parvalde-2023gads</w:t>
              </w:r>
            </w:hyperlink>
          </w:p>
        </w:tc>
        <w:tc>
          <w:tcPr>
            <w:tcW w:w="2127" w:type="dxa"/>
            <w:shd w:val="clear" w:color="auto" w:fill="FFFFFF"/>
            <w:noWrap/>
            <w:tcMar>
              <w:top w:w="75" w:type="dxa"/>
              <w:left w:w="75" w:type="dxa"/>
              <w:bottom w:w="75" w:type="dxa"/>
              <w:right w:w="75" w:type="dxa"/>
            </w:tcMar>
            <w:vAlign w:val="center"/>
          </w:tcPr>
          <w:p w:rsidR="004A6F50" w:rsidRDefault="004A6F50">
            <w:pPr>
              <w:jc w:val="left"/>
            </w:pPr>
          </w:p>
          <w:p w:rsidR="00B926E9" w:rsidRDefault="00B926E9">
            <w:pPr>
              <w:jc w:val="left"/>
            </w:pPr>
          </w:p>
          <w:p w:rsidR="00B926E9" w:rsidRDefault="00B926E9">
            <w:pPr>
              <w:jc w:val="left"/>
            </w:pPr>
          </w:p>
          <w:p w:rsidR="00B926E9" w:rsidRDefault="00B926E9">
            <w:pPr>
              <w:jc w:val="left"/>
            </w:pPr>
          </w:p>
          <w:p w:rsidR="00B926E9" w:rsidRDefault="00B926E9">
            <w:pPr>
              <w:jc w:val="left"/>
            </w:pPr>
          </w:p>
          <w:p w:rsidR="00B926E9" w:rsidRDefault="00B926E9">
            <w:pPr>
              <w:jc w:val="left"/>
            </w:pPr>
          </w:p>
          <w:p w:rsidR="00B926E9" w:rsidRDefault="00B926E9">
            <w:pPr>
              <w:jc w:val="left"/>
            </w:pPr>
          </w:p>
          <w:p w:rsidR="00B926E9" w:rsidRDefault="00B926E9">
            <w:pPr>
              <w:jc w:val="left"/>
            </w:pPr>
          </w:p>
          <w:p w:rsidR="00B926E9" w:rsidRDefault="00B926E9">
            <w:pPr>
              <w:jc w:val="left"/>
            </w:pPr>
          </w:p>
          <w:p w:rsidR="00B926E9" w:rsidRDefault="00B926E9">
            <w:pPr>
              <w:jc w:val="left"/>
            </w:pPr>
          </w:p>
          <w:p w:rsidR="00B926E9" w:rsidRDefault="00B926E9">
            <w:pPr>
              <w:jc w:val="left"/>
            </w:pPr>
          </w:p>
          <w:p w:rsidR="00B926E9" w:rsidRDefault="00B926E9">
            <w:pPr>
              <w:jc w:val="left"/>
            </w:pPr>
          </w:p>
          <w:p w:rsidR="00B926E9" w:rsidRDefault="00B926E9">
            <w:pPr>
              <w:jc w:val="left"/>
            </w:pPr>
          </w:p>
          <w:p w:rsidR="00B926E9" w:rsidRDefault="00B926E9" w:rsidP="00B926E9">
            <w:pPr>
              <w:jc w:val="center"/>
            </w:pPr>
            <w:r>
              <w:t>Ņemts vērā</w:t>
            </w:r>
          </w:p>
        </w:tc>
        <w:tc>
          <w:tcPr>
            <w:tcW w:w="4427" w:type="dxa"/>
            <w:shd w:val="clear" w:color="auto" w:fill="FFFFFF"/>
            <w:noWrap/>
            <w:tcMar>
              <w:top w:w="75" w:type="dxa"/>
              <w:left w:w="75" w:type="dxa"/>
              <w:bottom w:w="75" w:type="dxa"/>
              <w:right w:w="75" w:type="dxa"/>
            </w:tcMar>
            <w:vAlign w:val="center"/>
          </w:tcPr>
          <w:p w:rsidR="004A6F50" w:rsidRDefault="00004B17" w:rsidP="00BC0B96">
            <w:pPr>
              <w:jc w:val="center"/>
            </w:pPr>
            <w:r>
              <w:t xml:space="preserve">Skat. </w:t>
            </w:r>
            <w:proofErr w:type="spellStart"/>
            <w:r>
              <w:t>atb</w:t>
            </w:r>
            <w:proofErr w:type="spellEnd"/>
            <w:r>
              <w:t>. uz 1.</w:t>
            </w:r>
            <w:r w:rsidR="00BC0B96">
              <w:t>iebildumu</w:t>
            </w:r>
          </w:p>
        </w:tc>
      </w:tr>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r>
              <w:t>3.</w:t>
            </w:r>
          </w:p>
        </w:tc>
        <w:tc>
          <w:tcPr>
            <w:tcW w:w="2302" w:type="dxa"/>
            <w:shd w:val="clear" w:color="auto" w:fill="FFFFFF"/>
            <w:noWrap/>
            <w:tcMar>
              <w:top w:w="75" w:type="dxa"/>
              <w:left w:w="75" w:type="dxa"/>
              <w:bottom w:w="75" w:type="dxa"/>
              <w:right w:w="75" w:type="dxa"/>
            </w:tcMar>
            <w:vAlign w:val="center"/>
          </w:tcPr>
          <w:p w:rsidR="004A6F50" w:rsidRDefault="00BC0B96">
            <w:pPr>
              <w:jc w:val="left"/>
            </w:pPr>
            <w:r>
              <w:t>*Fiziska persona</w:t>
            </w:r>
          </w:p>
        </w:tc>
        <w:tc>
          <w:tcPr>
            <w:tcW w:w="4961" w:type="dxa"/>
            <w:shd w:val="clear" w:color="auto" w:fill="FFFFFF"/>
            <w:noWrap/>
            <w:tcMar>
              <w:top w:w="75" w:type="dxa"/>
              <w:left w:w="75" w:type="dxa"/>
              <w:bottom w:w="75" w:type="dxa"/>
              <w:right w:w="75" w:type="dxa"/>
            </w:tcMar>
            <w:vAlign w:val="center"/>
          </w:tcPr>
          <w:p w:rsidR="004A6F50" w:rsidRDefault="00BC0B96">
            <w:pPr>
              <w:jc w:val="left"/>
            </w:pPr>
            <w:r w:rsidRPr="00503CF1">
              <w:t>Cenu kāpums pasei nav adekvāts pret šī brīža esošo inflāciju un iedzīvotāju ienākumiem. Un jaunajā pasē nav nepieciešamas vairāk lpp. kā esošajā.</w:t>
            </w:r>
            <w:r>
              <w:t> </w:t>
            </w:r>
          </w:p>
        </w:tc>
        <w:tc>
          <w:tcPr>
            <w:tcW w:w="2127" w:type="dxa"/>
            <w:shd w:val="clear" w:color="auto" w:fill="FFFFFF"/>
            <w:noWrap/>
            <w:tcMar>
              <w:top w:w="75" w:type="dxa"/>
              <w:left w:w="75" w:type="dxa"/>
              <w:bottom w:w="75" w:type="dxa"/>
              <w:right w:w="75" w:type="dxa"/>
            </w:tcMar>
            <w:vAlign w:val="center"/>
          </w:tcPr>
          <w:p w:rsidR="004A6F50" w:rsidRDefault="00B926E9" w:rsidP="00B926E9">
            <w:pPr>
              <w:jc w:val="center"/>
            </w:pPr>
            <w:r>
              <w:t>Ņemts vērā</w:t>
            </w:r>
          </w:p>
        </w:tc>
        <w:tc>
          <w:tcPr>
            <w:tcW w:w="4427" w:type="dxa"/>
            <w:shd w:val="clear" w:color="auto" w:fill="FFFFFF"/>
            <w:noWrap/>
            <w:tcMar>
              <w:top w:w="75" w:type="dxa"/>
              <w:left w:w="75" w:type="dxa"/>
              <w:bottom w:w="75" w:type="dxa"/>
              <w:right w:w="75" w:type="dxa"/>
            </w:tcMar>
            <w:vAlign w:val="center"/>
          </w:tcPr>
          <w:p w:rsidR="00BC0B96" w:rsidRDefault="00BC0B96" w:rsidP="00BC0B96">
            <w:pPr>
              <w:jc w:val="center"/>
            </w:pPr>
            <w:r>
              <w:t xml:space="preserve">Skat. </w:t>
            </w:r>
            <w:proofErr w:type="spellStart"/>
            <w:r>
              <w:t>atb</w:t>
            </w:r>
            <w:proofErr w:type="spellEnd"/>
            <w:r>
              <w:t>. uz 1.iebildumu</w:t>
            </w:r>
          </w:p>
          <w:p w:rsidR="00004B17" w:rsidRDefault="00004B17" w:rsidP="00004B17">
            <w:r>
              <w:t>Jaunā parauga pases ir papildinātas ar lapu skaitu no 34 uz 42 lappusēm, vairāk vietas paredzot vīzu atzīmēm, lai pase būtu pilnvērtīgāk izmantojama tai paredzētajam mērķim - ceļošanai un vīzu saņemšanai, kā arī ierakstiem par pases turētāja nepilngadīgajiem bērniem. </w:t>
            </w:r>
            <w:r w:rsidR="00D64529">
              <w:t>Arī šī ir bijusi sabiedrības izteikta vēlme, it īpaši šāda nepieciešamība iepriekš tika izteikta no sabiedrības daļas, kas aktīvi ceļo darba vai citām vajadzībām un attiecīgi pase ātri tika piepildīta ar vīzu atzīmēm.</w:t>
            </w:r>
          </w:p>
        </w:tc>
      </w:tr>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r>
              <w:t>4.</w:t>
            </w:r>
          </w:p>
        </w:tc>
        <w:tc>
          <w:tcPr>
            <w:tcW w:w="2302" w:type="dxa"/>
            <w:shd w:val="clear" w:color="auto" w:fill="FFFFFF"/>
            <w:noWrap/>
            <w:tcMar>
              <w:top w:w="75" w:type="dxa"/>
              <w:left w:w="75" w:type="dxa"/>
              <w:bottom w:w="75" w:type="dxa"/>
              <w:right w:w="75" w:type="dxa"/>
            </w:tcMar>
            <w:vAlign w:val="center"/>
          </w:tcPr>
          <w:p w:rsidR="004A6F50" w:rsidRDefault="00BC0B96">
            <w:pPr>
              <w:jc w:val="left"/>
            </w:pPr>
            <w:r>
              <w:t>*Fiziska persona</w:t>
            </w:r>
          </w:p>
        </w:tc>
        <w:tc>
          <w:tcPr>
            <w:tcW w:w="4961" w:type="dxa"/>
            <w:shd w:val="clear" w:color="auto" w:fill="FFFFFF"/>
            <w:noWrap/>
            <w:tcMar>
              <w:top w:w="75" w:type="dxa"/>
              <w:left w:w="75" w:type="dxa"/>
              <w:bottom w:w="75" w:type="dxa"/>
              <w:right w:w="75" w:type="dxa"/>
            </w:tcMar>
            <w:vAlign w:val="center"/>
          </w:tcPr>
          <w:p w:rsidR="004A6F50" w:rsidRPr="00503CF1" w:rsidRDefault="00BC0B96">
            <w:pPr>
              <w:jc w:val="left"/>
            </w:pPr>
            <w:r w:rsidRPr="00503CF1">
              <w:t>Piekrītu abiem publiskajiem iebildumiem.</w:t>
            </w:r>
          </w:p>
        </w:tc>
        <w:tc>
          <w:tcPr>
            <w:tcW w:w="2127" w:type="dxa"/>
            <w:shd w:val="clear" w:color="auto" w:fill="FFFFFF"/>
            <w:noWrap/>
            <w:tcMar>
              <w:top w:w="75" w:type="dxa"/>
              <w:left w:w="75" w:type="dxa"/>
              <w:bottom w:w="75" w:type="dxa"/>
              <w:right w:w="75" w:type="dxa"/>
            </w:tcMar>
            <w:vAlign w:val="center"/>
          </w:tcPr>
          <w:p w:rsidR="004A6F50" w:rsidRDefault="008A6BC4" w:rsidP="008A6BC4">
            <w:pPr>
              <w:jc w:val="center"/>
            </w:pPr>
            <w:r>
              <w:t>Ņemts vērā</w:t>
            </w:r>
          </w:p>
        </w:tc>
        <w:tc>
          <w:tcPr>
            <w:tcW w:w="4427" w:type="dxa"/>
            <w:shd w:val="clear" w:color="auto" w:fill="FFFFFF"/>
            <w:noWrap/>
            <w:tcMar>
              <w:top w:w="75" w:type="dxa"/>
              <w:left w:w="75" w:type="dxa"/>
              <w:bottom w:w="75" w:type="dxa"/>
              <w:right w:w="75" w:type="dxa"/>
            </w:tcMar>
            <w:vAlign w:val="center"/>
          </w:tcPr>
          <w:p w:rsidR="004A6F50" w:rsidRDefault="00BC0B96" w:rsidP="00004B17">
            <w:pPr>
              <w:jc w:val="center"/>
            </w:pPr>
            <w:r>
              <w:t xml:space="preserve">Skat. </w:t>
            </w:r>
            <w:proofErr w:type="spellStart"/>
            <w:r>
              <w:t>atb</w:t>
            </w:r>
            <w:proofErr w:type="spellEnd"/>
            <w:r>
              <w:t>. uz 1.iebildumu</w:t>
            </w:r>
          </w:p>
        </w:tc>
      </w:tr>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r>
              <w:t>5.</w:t>
            </w:r>
          </w:p>
        </w:tc>
        <w:tc>
          <w:tcPr>
            <w:tcW w:w="2302" w:type="dxa"/>
            <w:shd w:val="clear" w:color="auto" w:fill="FFFFFF"/>
            <w:noWrap/>
            <w:tcMar>
              <w:top w:w="75" w:type="dxa"/>
              <w:left w:w="75" w:type="dxa"/>
              <w:bottom w:w="75" w:type="dxa"/>
              <w:right w:w="75" w:type="dxa"/>
            </w:tcMar>
            <w:vAlign w:val="center"/>
          </w:tcPr>
          <w:p w:rsidR="004A6F50" w:rsidRDefault="00BC0B96">
            <w:pPr>
              <w:jc w:val="left"/>
            </w:pPr>
            <w:r>
              <w:t>*Fiziska persona</w:t>
            </w:r>
          </w:p>
        </w:tc>
        <w:tc>
          <w:tcPr>
            <w:tcW w:w="4961" w:type="dxa"/>
            <w:shd w:val="clear" w:color="auto" w:fill="FFFFFF"/>
            <w:noWrap/>
            <w:tcMar>
              <w:top w:w="75" w:type="dxa"/>
              <w:left w:w="75" w:type="dxa"/>
              <w:bottom w:w="75" w:type="dxa"/>
              <w:right w:w="75" w:type="dxa"/>
            </w:tcMar>
            <w:vAlign w:val="center"/>
          </w:tcPr>
          <w:p w:rsidR="004A6F50" w:rsidRPr="00503CF1" w:rsidRDefault="00BC0B96">
            <w:pPr>
              <w:jc w:val="left"/>
            </w:pPr>
            <w:r w:rsidRPr="00503CF1">
              <w:t>Iebilstu cenai, tā ir nepamatoti augsta!</w:t>
            </w:r>
          </w:p>
        </w:tc>
        <w:tc>
          <w:tcPr>
            <w:tcW w:w="2127" w:type="dxa"/>
            <w:shd w:val="clear" w:color="auto" w:fill="FFFFFF"/>
            <w:noWrap/>
            <w:tcMar>
              <w:top w:w="75" w:type="dxa"/>
              <w:left w:w="75" w:type="dxa"/>
              <w:bottom w:w="75" w:type="dxa"/>
              <w:right w:w="75" w:type="dxa"/>
            </w:tcMar>
            <w:vAlign w:val="center"/>
          </w:tcPr>
          <w:p w:rsidR="004A6F50" w:rsidRDefault="00B926E9" w:rsidP="00B926E9">
            <w:pPr>
              <w:jc w:val="center"/>
            </w:pPr>
            <w:r>
              <w:t>Ņemts vērā</w:t>
            </w:r>
          </w:p>
        </w:tc>
        <w:tc>
          <w:tcPr>
            <w:tcW w:w="4427" w:type="dxa"/>
            <w:shd w:val="clear" w:color="auto" w:fill="FFFFFF"/>
            <w:noWrap/>
            <w:tcMar>
              <w:top w:w="75" w:type="dxa"/>
              <w:left w:w="75" w:type="dxa"/>
              <w:bottom w:w="75" w:type="dxa"/>
              <w:right w:w="75" w:type="dxa"/>
            </w:tcMar>
            <w:vAlign w:val="center"/>
          </w:tcPr>
          <w:p w:rsidR="004A6F50" w:rsidRDefault="00BC0B96" w:rsidP="00004B17">
            <w:pPr>
              <w:jc w:val="center"/>
            </w:pPr>
            <w:r>
              <w:t xml:space="preserve">Skat. </w:t>
            </w:r>
            <w:proofErr w:type="spellStart"/>
            <w:r>
              <w:t>atb</w:t>
            </w:r>
            <w:proofErr w:type="spellEnd"/>
            <w:r>
              <w:t>. uz 1.iebildumu</w:t>
            </w:r>
          </w:p>
        </w:tc>
      </w:tr>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r>
              <w:t>6.</w:t>
            </w:r>
          </w:p>
        </w:tc>
        <w:tc>
          <w:tcPr>
            <w:tcW w:w="2302" w:type="dxa"/>
            <w:shd w:val="clear" w:color="auto" w:fill="FFFFFF"/>
            <w:noWrap/>
            <w:tcMar>
              <w:top w:w="75" w:type="dxa"/>
              <w:left w:w="75" w:type="dxa"/>
              <w:bottom w:w="75" w:type="dxa"/>
              <w:right w:w="75" w:type="dxa"/>
            </w:tcMar>
            <w:vAlign w:val="center"/>
          </w:tcPr>
          <w:p w:rsidR="004A6F50" w:rsidRDefault="00BC0B96">
            <w:pPr>
              <w:jc w:val="left"/>
            </w:pPr>
            <w:r>
              <w:t>*Fiziska persona</w:t>
            </w:r>
          </w:p>
        </w:tc>
        <w:tc>
          <w:tcPr>
            <w:tcW w:w="4961" w:type="dxa"/>
            <w:shd w:val="clear" w:color="auto" w:fill="FFFFFF"/>
            <w:noWrap/>
            <w:tcMar>
              <w:top w:w="75" w:type="dxa"/>
              <w:left w:w="75" w:type="dxa"/>
              <w:bottom w:w="75" w:type="dxa"/>
              <w:right w:w="75" w:type="dxa"/>
            </w:tcMar>
            <w:vAlign w:val="center"/>
          </w:tcPr>
          <w:p w:rsidR="004A6F50" w:rsidRDefault="00BC0B96">
            <w:pPr>
              <w:jc w:val="left"/>
            </w:pPr>
            <w:r>
              <w:t xml:space="preserve">Ja pa 60€ būtu komplektā arī </w:t>
            </w:r>
            <w:proofErr w:type="spellStart"/>
            <w:r>
              <w:t>eID</w:t>
            </w:r>
            <w:proofErr w:type="spellEnd"/>
            <w:r>
              <w:t xml:space="preserve"> pieejams, tad tas būtu saprotams, bet tikai pase, kas reāli vairs nav vajadzīga, ir par daudz.</w:t>
            </w:r>
            <w:r>
              <w:br/>
              <w:t xml:space="preserve">Un ja jau </w:t>
            </w:r>
            <w:proofErr w:type="spellStart"/>
            <w:r>
              <w:t>eID</w:t>
            </w:r>
            <w:proofErr w:type="spellEnd"/>
            <w:r>
              <w:t xml:space="preserve"> ir obligāta, tūlīt būs laikam, tad varbūt </w:t>
            </w:r>
            <w:proofErr w:type="spellStart"/>
            <w:r>
              <w:t>eID</w:t>
            </w:r>
            <w:proofErr w:type="spellEnd"/>
            <w:r>
              <w:t xml:space="preserve"> maksu var </w:t>
            </w:r>
            <w:proofErr w:type="spellStart"/>
            <w:r>
              <w:t>pazimināt</w:t>
            </w:r>
            <w:proofErr w:type="spellEnd"/>
            <w:r>
              <w:t xml:space="preserve"> uz kopējā fona. Tādējādi par obligāto maksātu mazāk, bet par lieku un nevajadzīgu lietu (pasi) varētu maksāt tikai </w:t>
            </w:r>
            <w:proofErr w:type="spellStart"/>
            <w:r>
              <w:t>ti</w:t>
            </w:r>
            <w:proofErr w:type="spellEnd"/>
            <w:r>
              <w:t xml:space="preserve"> kas plāno braukt ārpus EU. Tad tas ar būtu pieņemami.</w:t>
            </w:r>
            <w:r>
              <w:br/>
              <w:t xml:space="preserve">Un kopumā, dokumentu nomaiņu, tieši nomaiņu, </w:t>
            </w:r>
            <w:proofErr w:type="spellStart"/>
            <w:r>
              <w:t>vajadētu</w:t>
            </w:r>
            <w:proofErr w:type="spellEnd"/>
            <w:r>
              <w:t xml:space="preserve"> padarīt vienkāršāku. Ja jau bankas kontu var atvērt </w:t>
            </w:r>
            <w:proofErr w:type="spellStart"/>
            <w:r>
              <w:t>sēžōt</w:t>
            </w:r>
            <w:proofErr w:type="spellEnd"/>
            <w:r>
              <w:t xml:space="preserve"> dīvānā, tad arī </w:t>
            </w:r>
            <w:proofErr w:type="spellStart"/>
            <w:r>
              <w:t>eID</w:t>
            </w:r>
            <w:proofErr w:type="spellEnd"/>
            <w:r>
              <w:t xml:space="preserve"> nomainīt vajadzētu varēt </w:t>
            </w:r>
            <w:proofErr w:type="spellStart"/>
            <w:r>
              <w:t>daud</w:t>
            </w:r>
            <w:proofErr w:type="spellEnd"/>
            <w:r>
              <w:t xml:space="preserve"> vienkāršāk. Saprotu, ka no jauna izsniegt pirmo reizi tas ir sarežģīti, bet atjaunot jāvar ir viegli.</w:t>
            </w:r>
          </w:p>
        </w:tc>
        <w:tc>
          <w:tcPr>
            <w:tcW w:w="2127" w:type="dxa"/>
            <w:shd w:val="clear" w:color="auto" w:fill="FFFFFF"/>
            <w:noWrap/>
            <w:tcMar>
              <w:top w:w="75" w:type="dxa"/>
              <w:left w:w="75" w:type="dxa"/>
              <w:bottom w:w="75" w:type="dxa"/>
              <w:right w:w="75" w:type="dxa"/>
            </w:tcMar>
            <w:vAlign w:val="center"/>
          </w:tcPr>
          <w:p w:rsidR="004A6F50" w:rsidRDefault="00B926E9" w:rsidP="00B926E9">
            <w:pPr>
              <w:jc w:val="center"/>
            </w:pPr>
            <w:r>
              <w:t>Ņemts vērā</w:t>
            </w:r>
          </w:p>
        </w:tc>
        <w:tc>
          <w:tcPr>
            <w:tcW w:w="4427" w:type="dxa"/>
            <w:shd w:val="clear" w:color="auto" w:fill="FFFFFF"/>
            <w:noWrap/>
            <w:tcMar>
              <w:top w:w="75" w:type="dxa"/>
              <w:left w:w="75" w:type="dxa"/>
              <w:bottom w:w="75" w:type="dxa"/>
              <w:right w:w="75" w:type="dxa"/>
            </w:tcMar>
            <w:vAlign w:val="center"/>
          </w:tcPr>
          <w:p w:rsidR="00BC0B96" w:rsidRDefault="00BC0B96" w:rsidP="00BC0B96">
            <w:pPr>
              <w:jc w:val="center"/>
            </w:pPr>
            <w:r>
              <w:t xml:space="preserve">Skat. </w:t>
            </w:r>
            <w:proofErr w:type="spellStart"/>
            <w:r>
              <w:t>atb</w:t>
            </w:r>
            <w:proofErr w:type="spellEnd"/>
            <w:r>
              <w:t>. uz 1.iebildumu</w:t>
            </w:r>
          </w:p>
          <w:p w:rsidR="004A6F50" w:rsidRDefault="00004B17" w:rsidP="00D64529">
            <w:r>
              <w:t xml:space="preserve">Projektā </w:t>
            </w:r>
            <w:r w:rsidR="00D64529">
              <w:t xml:space="preserve">nav </w:t>
            </w:r>
            <w:r>
              <w:t>paredzēts</w:t>
            </w:r>
            <w:r w:rsidR="00D64529">
              <w:t xml:space="preserve"> mainīt</w:t>
            </w:r>
            <w:r>
              <w:t xml:space="preserve"> valsts nodev</w:t>
            </w:r>
            <w:r w:rsidR="00D64529">
              <w:t>u</w:t>
            </w:r>
            <w:r>
              <w:t xml:space="preserve"> par personas apliecības izsniegšanu.</w:t>
            </w:r>
          </w:p>
          <w:p w:rsidR="00D64529" w:rsidRDefault="00D64529" w:rsidP="00D64529">
            <w:r>
              <w:t>PMLP pastāvīgi strādā, lai nodrošinātu personu apliecinoša dokumenta saņemšanu pēc iespējas ērti personām, vienlaikus nodrošinot izsniegšanas procesa un dokumenta izsniegšanas augstus drošības standartus.</w:t>
            </w:r>
          </w:p>
        </w:tc>
      </w:tr>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r>
              <w:t>7.</w:t>
            </w:r>
          </w:p>
        </w:tc>
        <w:tc>
          <w:tcPr>
            <w:tcW w:w="2302" w:type="dxa"/>
            <w:shd w:val="clear" w:color="auto" w:fill="FFFFFF"/>
            <w:noWrap/>
            <w:tcMar>
              <w:top w:w="75" w:type="dxa"/>
              <w:left w:w="75" w:type="dxa"/>
              <w:bottom w:w="75" w:type="dxa"/>
              <w:right w:w="75" w:type="dxa"/>
            </w:tcMar>
            <w:vAlign w:val="center"/>
          </w:tcPr>
          <w:p w:rsidR="004A6F50" w:rsidRDefault="00BC0B96">
            <w:pPr>
              <w:jc w:val="left"/>
            </w:pPr>
            <w:r>
              <w:t>Fiziska persona</w:t>
            </w:r>
          </w:p>
        </w:tc>
        <w:tc>
          <w:tcPr>
            <w:tcW w:w="4961" w:type="dxa"/>
            <w:shd w:val="clear" w:color="auto" w:fill="FFFFFF"/>
            <w:noWrap/>
            <w:tcMar>
              <w:top w:w="75" w:type="dxa"/>
              <w:left w:w="75" w:type="dxa"/>
              <w:bottom w:w="75" w:type="dxa"/>
              <w:right w:w="75" w:type="dxa"/>
            </w:tcMar>
            <w:vAlign w:val="center"/>
          </w:tcPr>
          <w:p w:rsidR="004A6F50" w:rsidRDefault="00BC0B96">
            <w:pPr>
              <w:jc w:val="left"/>
            </w:pPr>
            <w:r>
              <w:t xml:space="preserve">Šobrīd izskatās, ka summa piedzīta kādam vēlamajam rezultātam, nevis balstīta uz aprēķiniem, arī iesniegtie </w:t>
            </w:r>
            <w:proofErr w:type="spellStart"/>
            <w:r>
              <w:t>apreķini</w:t>
            </w:r>
            <w:proofErr w:type="spellEnd"/>
            <w:r>
              <w:t xml:space="preserve"> ir nekorekti, piemēram, koeficients, ar kādu dala IT uzturēšanas izmaksas (kas ne visas ir attiecināmas uz pasu izsniegšanu) neatbilst paša PMLP norādītajam paredzamajam izsniedzamo pasu skaitam. Tāpat arī nav pārliecība par norādītā darbinieka laika, kas tiek patērēts uz vienu dokumentu, atbilstību realitātei.</w:t>
            </w:r>
          </w:p>
        </w:tc>
        <w:tc>
          <w:tcPr>
            <w:tcW w:w="2127" w:type="dxa"/>
            <w:shd w:val="clear" w:color="auto" w:fill="FFFFFF"/>
            <w:noWrap/>
            <w:tcMar>
              <w:top w:w="75" w:type="dxa"/>
              <w:left w:w="75" w:type="dxa"/>
              <w:bottom w:w="75" w:type="dxa"/>
              <w:right w:w="75" w:type="dxa"/>
            </w:tcMar>
            <w:vAlign w:val="center"/>
          </w:tcPr>
          <w:p w:rsidR="004A6F50" w:rsidRDefault="00B926E9" w:rsidP="00B926E9">
            <w:pPr>
              <w:jc w:val="center"/>
            </w:pPr>
            <w:r>
              <w:t>Ņemts vērā</w:t>
            </w:r>
          </w:p>
        </w:tc>
        <w:tc>
          <w:tcPr>
            <w:tcW w:w="4427" w:type="dxa"/>
            <w:shd w:val="clear" w:color="auto" w:fill="FFFFFF"/>
            <w:noWrap/>
            <w:tcMar>
              <w:top w:w="75" w:type="dxa"/>
              <w:left w:w="75" w:type="dxa"/>
              <w:bottom w:w="75" w:type="dxa"/>
              <w:right w:w="75" w:type="dxa"/>
            </w:tcMar>
            <w:vAlign w:val="center"/>
          </w:tcPr>
          <w:p w:rsidR="004A6F50" w:rsidRDefault="00BC0B96" w:rsidP="00004B17">
            <w:pPr>
              <w:jc w:val="center"/>
            </w:pPr>
            <w:r>
              <w:t xml:space="preserve">Skat. </w:t>
            </w:r>
            <w:proofErr w:type="spellStart"/>
            <w:r>
              <w:t>atb</w:t>
            </w:r>
            <w:proofErr w:type="spellEnd"/>
            <w:r>
              <w:t>. uz 1.iebildumu</w:t>
            </w:r>
          </w:p>
          <w:p w:rsidR="00D64529" w:rsidRDefault="00D64529" w:rsidP="00004B17">
            <w:pPr>
              <w:jc w:val="center"/>
            </w:pPr>
          </w:p>
        </w:tc>
      </w:tr>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r>
              <w:t>8.</w:t>
            </w:r>
          </w:p>
        </w:tc>
        <w:tc>
          <w:tcPr>
            <w:tcW w:w="2302" w:type="dxa"/>
            <w:shd w:val="clear" w:color="auto" w:fill="FFFFFF"/>
            <w:noWrap/>
            <w:tcMar>
              <w:top w:w="75" w:type="dxa"/>
              <w:left w:w="75" w:type="dxa"/>
              <w:bottom w:w="75" w:type="dxa"/>
              <w:right w:w="75" w:type="dxa"/>
            </w:tcMar>
            <w:vAlign w:val="center"/>
          </w:tcPr>
          <w:p w:rsidR="004A6F50" w:rsidRDefault="00BC0B96">
            <w:pPr>
              <w:jc w:val="left"/>
            </w:pPr>
            <w:r>
              <w:t>Fiziska persona</w:t>
            </w:r>
          </w:p>
        </w:tc>
        <w:tc>
          <w:tcPr>
            <w:tcW w:w="4961" w:type="dxa"/>
            <w:shd w:val="clear" w:color="auto" w:fill="FFFFFF"/>
            <w:noWrap/>
            <w:tcMar>
              <w:top w:w="75" w:type="dxa"/>
              <w:left w:w="75" w:type="dxa"/>
              <w:bottom w:w="75" w:type="dxa"/>
              <w:right w:w="75" w:type="dxa"/>
            </w:tcMar>
            <w:vAlign w:val="center"/>
          </w:tcPr>
          <w:p w:rsidR="004A6F50" w:rsidRDefault="00BC0B96">
            <w:pPr>
              <w:jc w:val="left"/>
            </w:pPr>
            <w:r w:rsidRPr="00503CF1">
              <w:t xml:space="preserve">Nodeva par pases izsniegšanu ir nesamērojama ar minimālo vecuma </w:t>
            </w:r>
            <w:proofErr w:type="spellStart"/>
            <w:r w:rsidRPr="00503CF1">
              <w:t>pensīju</w:t>
            </w:r>
            <w:proofErr w:type="spellEnd"/>
            <w:r w:rsidRPr="00503CF1">
              <w:t xml:space="preserve"> kas liegs lielai daļai pensionāru  atļauties saņemt pasi.</w:t>
            </w:r>
          </w:p>
        </w:tc>
        <w:tc>
          <w:tcPr>
            <w:tcW w:w="2127" w:type="dxa"/>
            <w:shd w:val="clear" w:color="auto" w:fill="FFFFFF"/>
            <w:noWrap/>
            <w:tcMar>
              <w:top w:w="75" w:type="dxa"/>
              <w:left w:w="75" w:type="dxa"/>
              <w:bottom w:w="75" w:type="dxa"/>
              <w:right w:w="75" w:type="dxa"/>
            </w:tcMar>
            <w:vAlign w:val="center"/>
          </w:tcPr>
          <w:p w:rsidR="004A6F50" w:rsidRDefault="00F24A46" w:rsidP="00F24A46">
            <w:pPr>
              <w:jc w:val="center"/>
            </w:pPr>
            <w:r>
              <w:t>Ņemts vērā</w:t>
            </w:r>
          </w:p>
        </w:tc>
        <w:tc>
          <w:tcPr>
            <w:tcW w:w="4427" w:type="dxa"/>
            <w:shd w:val="clear" w:color="auto" w:fill="FFFFFF"/>
            <w:noWrap/>
            <w:tcMar>
              <w:top w:w="75" w:type="dxa"/>
              <w:left w:w="75" w:type="dxa"/>
              <w:bottom w:w="75" w:type="dxa"/>
              <w:right w:w="75" w:type="dxa"/>
            </w:tcMar>
            <w:vAlign w:val="center"/>
          </w:tcPr>
          <w:p w:rsidR="004A6F50" w:rsidRDefault="008A6BC4" w:rsidP="009F52EF">
            <w:r>
              <w:t xml:space="preserve">Projektā </w:t>
            </w:r>
            <w:r w:rsidR="00D64529">
              <w:t xml:space="preserve">nav </w:t>
            </w:r>
            <w:r>
              <w:t>paredzēts</w:t>
            </w:r>
            <w:r w:rsidR="00D64529">
              <w:t xml:space="preserve"> mainīt </w:t>
            </w:r>
            <w:r w:rsidR="00E819EF">
              <w:t>spēkā esošos</w:t>
            </w:r>
            <w:r w:rsidR="00D64529">
              <w:t xml:space="preserve"> atvieglojumus </w:t>
            </w:r>
            <w:r w:rsidR="00E819EF">
              <w:t>valsts nodevas apmērā</w:t>
            </w:r>
            <w:r>
              <w:t xml:space="preserve">, </w:t>
            </w:r>
            <w:r w:rsidR="00E819EF">
              <w:t xml:space="preserve">tai skaitā personām, kuras </w:t>
            </w:r>
            <w:r w:rsidRPr="008A6BC4">
              <w:t xml:space="preserve"> sasniegu</w:t>
            </w:r>
            <w:r w:rsidR="00E819EF">
              <w:t>šas .</w:t>
            </w:r>
            <w:r w:rsidRPr="008A6BC4">
              <w:t>"Par valsts pensijām" 11.panta pirmajā daļā noteikto vecumu</w:t>
            </w:r>
            <w:r w:rsidR="00E819EF">
              <w:t xml:space="preserve">. Attiecīgi valsts nodevas apmērs par pases izsniegšanu šīm personām tiek saglabāts 15 </w:t>
            </w:r>
            <w:proofErr w:type="spellStart"/>
            <w:r w:rsidR="00E819EF" w:rsidRPr="00E819EF">
              <w:rPr>
                <w:i/>
              </w:rPr>
              <w:t>euro</w:t>
            </w:r>
            <w:proofErr w:type="spellEnd"/>
            <w:r w:rsidR="00E819EF">
              <w:t xml:space="preserve"> apmērā.</w:t>
            </w:r>
          </w:p>
        </w:tc>
      </w:tr>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r>
              <w:t>9.</w:t>
            </w:r>
          </w:p>
        </w:tc>
        <w:tc>
          <w:tcPr>
            <w:tcW w:w="2302" w:type="dxa"/>
            <w:shd w:val="clear" w:color="auto" w:fill="FFFFFF"/>
            <w:noWrap/>
            <w:tcMar>
              <w:top w:w="75" w:type="dxa"/>
              <w:left w:w="75" w:type="dxa"/>
              <w:bottom w:w="75" w:type="dxa"/>
              <w:right w:w="75" w:type="dxa"/>
            </w:tcMar>
            <w:vAlign w:val="center"/>
          </w:tcPr>
          <w:p w:rsidR="004A6F50" w:rsidRDefault="00BC0B96">
            <w:pPr>
              <w:jc w:val="left"/>
            </w:pPr>
            <w:r>
              <w:t xml:space="preserve">"SUVERĒNĀ VARA", Jūlija </w:t>
            </w:r>
            <w:proofErr w:type="spellStart"/>
            <w:r>
              <w:t>Stepaņenko</w:t>
            </w:r>
            <w:proofErr w:type="spellEnd"/>
          </w:p>
        </w:tc>
        <w:tc>
          <w:tcPr>
            <w:tcW w:w="4961" w:type="dxa"/>
            <w:shd w:val="clear" w:color="auto" w:fill="FFFFFF"/>
            <w:noWrap/>
            <w:tcMar>
              <w:top w:w="75" w:type="dxa"/>
              <w:left w:w="75" w:type="dxa"/>
              <w:bottom w:w="75" w:type="dxa"/>
              <w:right w:w="75" w:type="dxa"/>
            </w:tcMar>
            <w:vAlign w:val="center"/>
          </w:tcPr>
          <w:p w:rsidR="004A6F50" w:rsidRDefault="00BC0B96">
            <w:pPr>
              <w:jc w:val="left"/>
            </w:pPr>
            <w:r>
              <w:t>Tiesību akta projekts “Grozījumi Ministru kabineta 2012. gada 21. februāra noteikumos Nr. 133 “Noteikumi par valsts nodevu par personu apliecinošu dokumentu  izsniegšanu” paredz divkāršu pieaugumu valsts nodevai par pases izsniegšanu. No tiesību akta projekta anotācijas izriet, ka nodevas paaugstināšana ir saistīta ar valsts vēlmi mainīt personu apliecinoša dokumenta dizainu un ieviest jaunākas paaudzes līdzekļus pret viltošanu. Kā būtisks izmaksu pieauguma faktors ir minēts informācijas tehnoloģiju nodrošinājums un darbinieku atalgojums. Bez tam anotācijā ir doti aprēķini ar nodevas apmēru veidojošiem izdevumiem. Iebilstam pret piedāvātiem grozījumiem sekojošu apsvērumu dēļ:</w:t>
            </w:r>
            <w:r>
              <w:br/>
            </w:r>
            <w:r>
              <w:br/>
              <w:t xml:space="preserve">Saskaņā ar Personu apliecinošo dokumentu likuma 2. panta otro daļu, personu apliecinošs dokuments, tai skaitā pase, ir Latvijas Republikas īpašums. Katram īpašniekam pašam ir pienākums rūpēties par savu īpašumu un tā uzlabojumiem. Latvijas Republikas personu apliecinošo dokumentu turētāju drošība vai aizsardzība nepieaug ar dokumenta dizaina vai tajā pielietoto risinājumu izmaiņām. Latvijas Republikas pases jau pašlaik pilda visas mūsdienu pases funkcijas. Tas ir pašas valsts interesēs, vēl vairāk uzlabot pasu drošību, pielietot jaunākos IT risinājumus utt. Līdz ar to valstij ir jāsedz šīs izmaksas no attiecīgo iestāžu regulārā budžeta, jo tie ir valsts izvēlētie izdevumi valsts īpašuma uzlabošanai, kas nedod nekādu papildus labumu šī īpašuma lietotājiem, bet rada iespējamās grūtības dokumentu viltotājiem, tātad likumpārkāpējiem. Par cīņu ar likumpārkāpējiem valsts iedzīvotāji arī jau ir samaksājuši ar saviem nodokļiem, finansējot policiju un citas </w:t>
            </w:r>
            <w:proofErr w:type="spellStart"/>
            <w:r>
              <w:t>tiesībsargājošās</w:t>
            </w:r>
            <w:proofErr w:type="spellEnd"/>
            <w:r>
              <w:t xml:space="preserve"> iestādes.</w:t>
            </w:r>
            <w:r>
              <w:br/>
            </w:r>
            <w:r>
              <w:br/>
              <w:t xml:space="preserve">Pilsonības un migrācijas lietu pārvalde (PMLP) ir </w:t>
            </w:r>
            <w:proofErr w:type="spellStart"/>
            <w:r>
              <w:t>Iekšlietu</w:t>
            </w:r>
            <w:proofErr w:type="spellEnd"/>
            <w:r>
              <w:t xml:space="preserve"> ministrijas tiešās pārvaldības iestāde, kuras mērķis ir nodrošināt valsts interesēm atbilstošo migrācijas procesu un iedzīvotāju uzskaites un dokumentēšanas vadīšanu un īstenošanu. Šī ir iestāde, kas nodrošina valsts funkcijas izpildi, nevis iedzīvotāju izvēlēto pakalpojumu sniegšanu. Ja iedzīvotājs ieradīsies tikai pēc ID kartes vai neapmeklēs PMLP vispār, valsts nelikvidēs šo iestādi, nedrukās pases bez nepieciešamās aizsardzības pakāpes, un nepārstās pildīt šo funkciju, tādēļ PMLP ir atvēlēts patstāvīgs budžets, kas ir iekļauts citos valsts nodokļos. Saskaņā ar likuma Par nodokļiem un nodevām 1. panta pirmās daļas 2). apakšpunktu, valsts nodevas apmērs nav tiešā veidā saistīts ar institūcijas veiktās darbības izmaksu segšanu. Līdz ar to nav pieņemami, ka darbinieku vai iegādāto tehnoloģiju izmaksas tiktu tieši un pilnā apmērā iekļautas valsts nodevas apmērā. Turklāt, no anotācijā sniegtā aprēķina ir redzams, ka nodevas apmērā ir iekļauti sociālais, algas un pievienotās vērtības nodokļi. Tātad nodokļi tiek aplikti ar nodevu un tas nav pieņemami.</w:t>
            </w:r>
            <w:r>
              <w:br/>
            </w:r>
            <w:r>
              <w:br/>
              <w:t xml:space="preserve">Saskaņā ar likuma Par nodokļiem un nodevām 1. panta pirmās daļas 2). apakšpunktu, valsts nodevas mērķis ir personu darbību regulēšana (kontrolēšana, veicināšana, ierobežošana). Nodevas paaugstināšana viennozīmīgi ierobežo personu iespējas saņemt pasi un, tātad, arī tiesības uz brīvu pārvietošanos. Eiropas Savienībā, kurā ir iespējams ceļot ar ID karti,  ir tikai 27 no 256 pasaules valstīm. Daudzi Latvijas iedzīvotāji ceļo uz Lielbritāniju un Skotiju darba vajadzībās, daudzi apmeklē radus tādās pasaules </w:t>
            </w:r>
            <w:proofErr w:type="spellStart"/>
            <w:r>
              <w:t>valsīts</w:t>
            </w:r>
            <w:proofErr w:type="spellEnd"/>
            <w:r>
              <w:t>, kā Ukraina un Gruzija, mūsu sportisti dodas uz starptautiskajām sacensībām, dejotāji un dziedātāji - uz koncertiem, viņu starpā ir arī daudz bērnu. Visām šīm iedzīvotāju kategorijām ceļošanai ir nepieciešama pase un nebūt ne visiem ir pietiekami daudz lieku līdzekļu, lai apmaksātu tādu nodevu.</w:t>
            </w:r>
            <w:r>
              <w:br/>
            </w:r>
            <w:r>
              <w:br/>
              <w:t>Ņemot vērā augstāk norādīto, aicinām atteikties no valsts nodevas paaugstināšanas par pasu izgatavošanu.</w:t>
            </w:r>
          </w:p>
        </w:tc>
        <w:tc>
          <w:tcPr>
            <w:tcW w:w="2127" w:type="dxa"/>
            <w:shd w:val="clear" w:color="auto" w:fill="FFFFFF"/>
            <w:noWrap/>
            <w:tcMar>
              <w:top w:w="75" w:type="dxa"/>
              <w:left w:w="75" w:type="dxa"/>
              <w:bottom w:w="75" w:type="dxa"/>
              <w:right w:w="75" w:type="dxa"/>
            </w:tcMar>
            <w:vAlign w:val="center"/>
          </w:tcPr>
          <w:p w:rsidR="00F24A46" w:rsidRDefault="00F24A46" w:rsidP="00004B17">
            <w:pPr>
              <w:jc w:val="center"/>
            </w:pPr>
            <w:r>
              <w:t>Ņemts vērā</w:t>
            </w:r>
          </w:p>
        </w:tc>
        <w:tc>
          <w:tcPr>
            <w:tcW w:w="4427" w:type="dxa"/>
            <w:shd w:val="clear" w:color="auto" w:fill="FFFFFF"/>
            <w:noWrap/>
            <w:tcMar>
              <w:top w:w="75" w:type="dxa"/>
              <w:left w:w="75" w:type="dxa"/>
              <w:bottom w:w="75" w:type="dxa"/>
              <w:right w:w="75" w:type="dxa"/>
            </w:tcMar>
            <w:vAlign w:val="center"/>
          </w:tcPr>
          <w:p w:rsidR="004A6F50" w:rsidRDefault="004A6F50">
            <w:pPr>
              <w:jc w:val="left"/>
            </w:pPr>
          </w:p>
          <w:p w:rsidR="00004B17" w:rsidRDefault="00004B17">
            <w:pPr>
              <w:jc w:val="left"/>
            </w:pPr>
          </w:p>
          <w:p w:rsidR="00004B17" w:rsidRDefault="00004B17">
            <w:pPr>
              <w:jc w:val="left"/>
            </w:pPr>
          </w:p>
          <w:p w:rsidR="00004B17" w:rsidRDefault="00BC0B96" w:rsidP="00BC0B96">
            <w:pPr>
              <w:jc w:val="center"/>
            </w:pPr>
            <w:r>
              <w:t xml:space="preserve">Skat. </w:t>
            </w:r>
            <w:proofErr w:type="spellStart"/>
            <w:r>
              <w:t>atb</w:t>
            </w:r>
            <w:proofErr w:type="spellEnd"/>
            <w:r>
              <w:t>. uz 1.iebildumu</w:t>
            </w:r>
          </w:p>
          <w:p w:rsidR="00004B17" w:rsidRDefault="00004B17">
            <w:pPr>
              <w:jc w:val="left"/>
            </w:pPr>
          </w:p>
          <w:p w:rsidR="00004B17" w:rsidRDefault="00004B17">
            <w:pPr>
              <w:jc w:val="left"/>
            </w:pPr>
          </w:p>
          <w:p w:rsidR="00004B17" w:rsidRDefault="00004B17">
            <w:pPr>
              <w:jc w:val="left"/>
            </w:pPr>
          </w:p>
        </w:tc>
      </w:tr>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r>
              <w:t>10.</w:t>
            </w:r>
          </w:p>
        </w:tc>
        <w:tc>
          <w:tcPr>
            <w:tcW w:w="2302" w:type="dxa"/>
            <w:shd w:val="clear" w:color="auto" w:fill="FFFFFF"/>
            <w:noWrap/>
            <w:tcMar>
              <w:top w:w="75" w:type="dxa"/>
              <w:left w:w="75" w:type="dxa"/>
              <w:bottom w:w="75" w:type="dxa"/>
              <w:right w:w="75" w:type="dxa"/>
            </w:tcMar>
            <w:vAlign w:val="center"/>
          </w:tcPr>
          <w:p w:rsidR="004A6F50" w:rsidRDefault="00BC0B96">
            <w:pPr>
              <w:jc w:val="left"/>
            </w:pPr>
            <w:r>
              <w:t>Pilsonis, Toms Dreika</w:t>
            </w:r>
          </w:p>
        </w:tc>
        <w:tc>
          <w:tcPr>
            <w:tcW w:w="4961" w:type="dxa"/>
            <w:shd w:val="clear" w:color="auto" w:fill="FFFFFF"/>
            <w:noWrap/>
            <w:tcMar>
              <w:top w:w="75" w:type="dxa"/>
              <w:left w:w="75" w:type="dxa"/>
              <w:bottom w:w="75" w:type="dxa"/>
              <w:right w:w="75" w:type="dxa"/>
            </w:tcMar>
            <w:vAlign w:val="center"/>
          </w:tcPr>
          <w:p w:rsidR="004A6F50" w:rsidRDefault="00BC0B96">
            <w:pPr>
              <w:jc w:val="left"/>
            </w:pPr>
            <w:r>
              <w:rPr>
                <w:b/>
              </w:rPr>
              <w:t>1. Par projekta aprēķiniem</w:t>
            </w:r>
            <w:r>
              <w:br/>
            </w:r>
            <w:r>
              <w:br/>
              <w:t>Citos privātpersonu viedokļos jau ir pareizi norādīts, ka PMLP izmaksu aprēķins ir absolūti neatbilstošs realitātei, izmaksas pamatojot ar pieņēmumu, ka tiks izsniegtas 10 000 pases gadā, kamēr anotācijas pielikumā paredzot 176 000 pasu izsniegšanu 2024. gadā. Tāpat arī citu personu minētais, ka IKT sistēmu uzturēšanu, kuras izmaksas pamato, tiek izmantotas arī citu funkciju veikšanai. </w:t>
            </w:r>
            <w:r>
              <w:br/>
            </w:r>
            <w:r>
              <w:br/>
              <w:t>Vienlaikus darbaspēka izmaksu aprēķinā ir iekļautas šī brīža PMLP attiecīgo darbinieku laika izmaksas, nevis tās, kuras būtu jāsasniedz atbilstoši valsts pārvaldes atalgojuma reformā paredzētajam. </w:t>
            </w:r>
            <w:r>
              <w:br/>
            </w:r>
            <w:r>
              <w:br/>
              <w:t>Ļoti negribās būt rupjam, bet šajā projektā nav spēts atrisināt pamatskolas līmeņa matemātikas jautājumus. Šādas kvalitātes projekts nevarēja nonākt līdz sabiedriskai apspriešanai, kas ir pēdējais solis pirms izsludināšanas starpinstitūciju saskaņošanai. Tā ir klaja patvaļa (gatavot projektu neievērojot IEM saistošus normatīvos aktus par to, kā projekti ir sagatavojami) vai arī absolūta nekompetence.</w:t>
            </w:r>
            <w:r>
              <w:br/>
            </w:r>
            <w:r>
              <w:br/>
            </w:r>
            <w:r>
              <w:rPr>
                <w:b/>
              </w:rPr>
              <w:t>2. Par sākotnējās ietekmes novērtējuma ziņojumu</w:t>
            </w:r>
            <w:r>
              <w:br/>
            </w:r>
            <w:r>
              <w:br/>
              <w:t>Projekta anotācija ir sagatavota neatbilstoši Ministru kabineta noteikumu Nr. 617 "Tiesību akta projekta sākotnējās ietekmes izvērtēšanas kārtība" prasībām un, tā kā projekta būtība balstās anotācijas apsvērumos, pats projekts neatbilst kritērijiem, kuri ir jāizpilda normatīvo aktu sagatavošanā. </w:t>
            </w:r>
            <w:r>
              <w:br/>
            </w:r>
            <w:r>
              <w:br/>
              <w:t>Anotācijā nekādā veidā nav vērtēta ietekme uz projekta mērķa grupām, kaut arī noteikumi Nr. 617 paredz ne tikai fiksēt personas, kuras projekts ietekmēs, bet arī vērtēt šo ietekmi. Projekta anotācija lakoniski norāda, ka projekts ietekmēs personas, kas vēlēsies saņemt pases un personas ar invaliditāti, saglabājot tām paredzēto atvieglojumu (nenorādot, ka arī šīm personām tiks dubultota maksa par pases saņemšanu). </w:t>
            </w:r>
            <w:r>
              <w:br/>
            </w:r>
            <w:r>
              <w:br/>
              <w:t xml:space="preserve">Noteikumi Nr. 617 imperatīvi prasa ne tikai norādīt personas, bet arī vērtēt ietekmi uz tām. Apsvērums, ka pase šobrīd vairs nav obligāts dokuments, </w:t>
            </w:r>
            <w:proofErr w:type="spellStart"/>
            <w:r>
              <w:t>neataisno</w:t>
            </w:r>
            <w:proofErr w:type="spellEnd"/>
            <w:r>
              <w:t xml:space="preserve"> un nepieļauj to, ka ietekmi var vienkārši nevērtēt. Pase ir un būs nozīmīgākais personu apliecinošs dokuments un valsts interesēs ir, lai tās iedzīvotājiem pases būtu. </w:t>
            </w:r>
            <w:r>
              <w:br/>
            </w:r>
            <w:r>
              <w:br/>
              <w:t>Kā projekts ietekmēs pasu izsniegšanu un kādi riski veidosies no tā, ka aizvien lielākai daļai valsts iedzīvotāju pases nebūs? Kā tas ietekmēs studentu iespējas braukt apmaiņas programmās (uz valstīm ārpus ES)? Kādi riski ir saistāmi ar to, ka pieaugs personu skaits, kurām būs jāiet sarežģītais process dokumentu iegūšanai (kad persona pazaudēs ID karti un tai nebūs pases, ko izmantot jaunu dokumentu izgatavošanai)? Ko šādi riski nozīmēs kara gadījumā, kur mātēm, bērniem un veciem cilvēkiem būtu pat vēlams doties bēgļu gaitās, lai izdzīvotu (proti, cik plaši pasaulē tiek pieņemtas mūsu ID kartes un kā PMLP taisās pildīt savas funkcijas, kad jau esoša kara laikā cilvēki nāks pēc pases?).</w:t>
            </w:r>
            <w:r>
              <w:br/>
            </w:r>
            <w:r>
              <w:br/>
              <w:t xml:space="preserve">Un kā ir ar pasi, kā nacionālās </w:t>
            </w:r>
            <w:proofErr w:type="spellStart"/>
            <w:r>
              <w:t>indentitātes</w:t>
            </w:r>
            <w:proofErr w:type="spellEnd"/>
            <w:r>
              <w:t xml:space="preserve"> sastāvdaļu? </w:t>
            </w:r>
            <w:r>
              <w:br/>
            </w:r>
            <w:r>
              <w:br/>
              <w:t>Ņemot vērā arī nepamatotos aprēķinus, ir skaidrs, ka tuvā nākotnē būs nepieciešama tālāka nodevas apmēra celšana, kas šos jautājumus aktualizēs atkārtoti un nozīmīgākā mērogā. </w:t>
            </w:r>
            <w:r>
              <w:br/>
            </w:r>
            <w:r>
              <w:br/>
              <w:t>Pase nav privilēģija un valstij nav un nevar būt intereses to par tādu padarīt. </w:t>
            </w:r>
            <w:r>
              <w:br/>
            </w:r>
            <w:r>
              <w:br/>
              <w:t>Lūdzu sagatavot grozījuma projekta anotāciju atbilstoši normatīvo aktu prasībām. </w:t>
            </w:r>
            <w:r>
              <w:br/>
            </w:r>
            <w:r>
              <w:br/>
            </w:r>
            <w:r>
              <w:rPr>
                <w:b/>
              </w:rPr>
              <w:t>3. Par projekta mērķiem </w:t>
            </w:r>
            <w:r>
              <w:br/>
            </w:r>
            <w:r>
              <w:br/>
              <w:t>Projekts tiek pamatots ar PMLP izmaksu pieaugumu, kamēr pats projekts nekādā veidā nerisina PMLP izmaksu jautājumu, vai jebkādu citu konkrētu mērķi. </w:t>
            </w:r>
            <w:r>
              <w:br/>
            </w:r>
            <w:r>
              <w:br/>
              <w:t>Atbilstoši projektam nodevu (kaut arī nodevas ir mērķa maksājumi, ko izmanto funkcijas izpildei) ieskaitīs valsts pamatbudžetā. Proti, no nodevas ieņēmumiem netiek veidota PMLP budžeta apropriācija. Tātad, augstāka nodeva nekādā veidā neuzlabos PMLP iespējas pildīt savas funkcijas. PMLP joprojām nespēs noalgot cilvēkus savu funkciju izpildei, rindas joprojām pastāvēs un nekādi uzlabojumi nav sagaidāmi. Lai tas varētu notikt, nodevas maksājumam atbilstoši nodevas būtībai būtu jānonāk jau konkrētā budžeta apakšprogrammā, kas paredzēta atbilstošās funkcijas izpildei. </w:t>
            </w:r>
            <w:r>
              <w:br/>
            </w:r>
            <w:r>
              <w:br/>
              <w:t>Līdz ar to šobrīd var secināt, ka projekta vienīgais mērķis ir nenozīmīgā apmērā papildināt valsts vispārējo budžetu, neuzlabojot tās funkciju izpildi vai konkrētā pakalpojuma nodrošināšanu, kas, likumsakarīgi, izraisīs sabiedrības sašutumu. </w:t>
            </w:r>
            <w:r>
              <w:br/>
            </w:r>
            <w:r>
              <w:br/>
              <w:t xml:space="preserve">Anotācijas aprēķini par darbaspēka izmaksām (kuros norādīts patērētais laiks) gan atklāj apstākli, ka nebūtu nekādu problēmu pases sagatavot vienā dienā un tādējādi būtiski mazināt administratīvo slogu gan pašai PMLP, gan privātpersonai. Tomēr ar projektu (kā pareizi norāda anotācija) nav nekādā veidā paredzēts uzlabot valsts funkciju izpildes pakalpojumu nodrošināšanu, tam nepieciešamo laiku, </w:t>
            </w:r>
            <w:proofErr w:type="spellStart"/>
            <w:r>
              <w:t>plūstošāk</w:t>
            </w:r>
            <w:proofErr w:type="spellEnd"/>
            <w:r>
              <w:t xml:space="preserve"> un ērtāk veidojot pašu procesu. Kāpēc? Es atvainojos, ja pases sagataves izmaksas ir zem 10 EUR, tad par 50 EUR tomēr tā kā varētu jau nodrošināt cilvēkiem ērtu dokumentu izsniegšanas procesu vai vismaz pieejamību bez rindām. Protams, tā kā pats IEM ir pieļāvis un plāno turpināt pieļaut, ka nodevas tiek skaitītas valsts </w:t>
            </w:r>
            <w:proofErr w:type="spellStart"/>
            <w:r>
              <w:t>pamatbudžētā</w:t>
            </w:r>
            <w:proofErr w:type="spellEnd"/>
            <w:r>
              <w:t>, uz to nav jēgas cerēt.</w:t>
            </w:r>
            <w:r>
              <w:br/>
            </w:r>
            <w:r>
              <w:br/>
              <w:t xml:space="preserve">Jebkurā gadījumā, normatīvos aktus neraksta ar slēptiem mērķiem. Ja ar projektu nav paredzēts uzlabot PMLP iespējas veikt savu darbu (kas nevar notikt kamēr </w:t>
            </w:r>
            <w:proofErr w:type="spellStart"/>
            <w:r>
              <w:t>nodevus</w:t>
            </w:r>
            <w:proofErr w:type="spellEnd"/>
            <w:r>
              <w:t xml:space="preserve"> skaita pamatbudžetā), tad tā tas arī ir jānorāda. Ja projekta mērķis ir panākt, ka cilvēki izvēlas dzīvot bez pases un kaut kādā mērā palielināt valsts pamatbudžeta ieņēmumus uz personu, kas vēlas ceļot, rēķina, tā arī ir jāraksta. Normatīvo aktu nepamato ar fiktīvām problēmām, kuras tas neparedz risināt. Normatīvos aktus gatavo, lai risinātu problēmas, kuras bez normatīvā akta nevar atrisināt, un tos veido saturā tādus, lai šīs problēmas reāli atrisinātu. </w:t>
            </w:r>
          </w:p>
        </w:tc>
        <w:tc>
          <w:tcPr>
            <w:tcW w:w="2127" w:type="dxa"/>
            <w:shd w:val="clear" w:color="auto" w:fill="FFFFFF"/>
            <w:noWrap/>
            <w:tcMar>
              <w:top w:w="75" w:type="dxa"/>
              <w:left w:w="75" w:type="dxa"/>
              <w:bottom w:w="75" w:type="dxa"/>
              <w:right w:w="75" w:type="dxa"/>
            </w:tcMar>
            <w:vAlign w:val="center"/>
          </w:tcPr>
          <w:p w:rsidR="004A6F50" w:rsidRDefault="00F24A46" w:rsidP="00F24A46">
            <w:pPr>
              <w:jc w:val="center"/>
            </w:pPr>
            <w:r>
              <w:t>Ņemts vērā</w:t>
            </w:r>
          </w:p>
        </w:tc>
        <w:tc>
          <w:tcPr>
            <w:tcW w:w="4427" w:type="dxa"/>
            <w:shd w:val="clear" w:color="auto" w:fill="FFFFFF"/>
            <w:noWrap/>
            <w:tcMar>
              <w:top w:w="75" w:type="dxa"/>
              <w:left w:w="75" w:type="dxa"/>
              <w:bottom w:w="75" w:type="dxa"/>
              <w:right w:w="75" w:type="dxa"/>
            </w:tcMar>
            <w:vAlign w:val="center"/>
          </w:tcPr>
          <w:p w:rsidR="004A6F50" w:rsidRDefault="00BC0B96" w:rsidP="00004B17">
            <w:pPr>
              <w:jc w:val="center"/>
            </w:pPr>
            <w:r>
              <w:t xml:space="preserve">Skat. </w:t>
            </w:r>
            <w:proofErr w:type="spellStart"/>
            <w:r>
              <w:t>atb</w:t>
            </w:r>
            <w:proofErr w:type="spellEnd"/>
            <w:r>
              <w:t>. uz 1.iebildumu</w:t>
            </w: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r>
              <w:t>2. Papildināta projekta anotācija</w:t>
            </w: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004B17">
            <w:pPr>
              <w:jc w:val="center"/>
            </w:pPr>
          </w:p>
          <w:p w:rsidR="00432A47" w:rsidRDefault="00432A47" w:rsidP="00432A47"/>
          <w:p w:rsidR="00432A47" w:rsidRDefault="00432A47" w:rsidP="00432A47">
            <w:r>
              <w:t>3. Papildināta projekta anotācija</w:t>
            </w:r>
          </w:p>
          <w:p w:rsidR="00432A47" w:rsidRDefault="00432A47" w:rsidP="00432A47"/>
        </w:tc>
      </w:tr>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r>
              <w:t>11.</w:t>
            </w:r>
          </w:p>
        </w:tc>
        <w:tc>
          <w:tcPr>
            <w:tcW w:w="2302" w:type="dxa"/>
            <w:shd w:val="clear" w:color="auto" w:fill="FFFFFF"/>
            <w:noWrap/>
            <w:tcMar>
              <w:top w:w="75" w:type="dxa"/>
              <w:left w:w="75" w:type="dxa"/>
              <w:bottom w:w="75" w:type="dxa"/>
              <w:right w:w="75" w:type="dxa"/>
            </w:tcMar>
            <w:vAlign w:val="center"/>
          </w:tcPr>
          <w:p w:rsidR="004A6F50" w:rsidRDefault="00BC0B96">
            <w:pPr>
              <w:jc w:val="left"/>
            </w:pPr>
            <w:r>
              <w:t>Ilmārs Poikāns</w:t>
            </w:r>
          </w:p>
        </w:tc>
        <w:tc>
          <w:tcPr>
            <w:tcW w:w="4961" w:type="dxa"/>
            <w:shd w:val="clear" w:color="auto" w:fill="FFFFFF"/>
            <w:noWrap/>
            <w:tcMar>
              <w:top w:w="75" w:type="dxa"/>
              <w:left w:w="75" w:type="dxa"/>
              <w:bottom w:w="75" w:type="dxa"/>
              <w:right w:w="75" w:type="dxa"/>
            </w:tcMar>
            <w:vAlign w:val="center"/>
          </w:tcPr>
          <w:p w:rsidR="004A6F50" w:rsidRDefault="00BC0B96">
            <w:pPr>
              <w:jc w:val="left"/>
            </w:pPr>
            <w:r>
              <w:t xml:space="preserve">20.09.2022. groza MK rīkojumu Nr. 347, paredzot ieņēmumus no valsts nodevas par pasu izsniegšanu 2024. gadā ne mazāk kā 6 088 527 </w:t>
            </w:r>
            <w:proofErr w:type="spellStart"/>
            <w:r>
              <w:t>euro</w:t>
            </w:r>
            <w:proofErr w:type="spellEnd"/>
            <w:r>
              <w:t xml:space="preserve">, par personas apliecību – ne mazāk kā 5 025 817 </w:t>
            </w:r>
            <w:proofErr w:type="spellStart"/>
            <w:r>
              <w:t>euro</w:t>
            </w:r>
            <w:proofErr w:type="spellEnd"/>
            <w:r>
              <w:t>. Skat. https://likumi.lv/ta/id/335729 (Ministru kabineta 2022. gada 20. septembra rīkojums Nr. 644 "Grozījumi Ministru kabineta 2011. gada 27. jūlija rīkojumā Nr. 347")</w:t>
            </w:r>
            <w:r>
              <w:br/>
            </w:r>
            <w:r>
              <w:br/>
              <w:t>02.07.2023. publicētajā "Pilsonības un migrācijas lietu pārvaldes Darbības rezultāti un to rezultatīvie rādītāji no 2021. līdz 2025. gadam" 2024. gadā tika prognozēts izsniegt 375 835 pases. Skat.  https://www.fm.gov.lv/lv/110100-pilsonibas-un-migracijas-lietu-parvalde-2023gads</w:t>
            </w:r>
            <w:r>
              <w:br/>
            </w:r>
            <w:r>
              <w:br/>
              <w:t>MK tiek iesniegts grozījumu projekts, kas paredz palielināt pases izsniegšanas nodevas 2 reizes. Skat. https://tapportals.mk.gov.lv/public_participation/ad457be7-5f29-41ce-ada1-332fefab126a</w:t>
            </w:r>
            <w:r>
              <w:br/>
            </w:r>
            <w:r>
              <w:br/>
              <w:t xml:space="preserve">Grozījumu anotācijā Nodevas par pasu izsniegšanu apmēra aprēķins izdevumu sadaļa 2200 Pakalpojumi, ir kļūdaina un nepilnīga. Minētie uzturēšanas izdevumi 410 776 </w:t>
            </w:r>
            <w:proofErr w:type="spellStart"/>
            <w:r>
              <w:t>euro</w:t>
            </w:r>
            <w:proofErr w:type="spellEnd"/>
            <w:r>
              <w:t xml:space="preserve"> (gadā) tiek nosegti jau ar nieka 10 000 pasēm, ja tiek izmantots koeficients 0,0001. Korekti būtu koeficients – izmaksas dalītas ar </w:t>
            </w:r>
            <w:proofErr w:type="spellStart"/>
            <w:r>
              <w:t>izniegto</w:t>
            </w:r>
            <w:proofErr w:type="spellEnd"/>
            <w:r>
              <w:t xml:space="preserve"> pasu skaitu. Ir minētas arī PADIS uzturēšanas izmaksas, bet nav norādīta konkrēta summa, tikai koeficients. Ja PADIS rada papildus izmaksas minētajiem 410 776 </w:t>
            </w:r>
            <w:proofErr w:type="spellStart"/>
            <w:r>
              <w:t>euro</w:t>
            </w:r>
            <w:proofErr w:type="spellEnd"/>
            <w:r>
              <w:t>, tad pakalpojumu izmaksām par pasi vajadzētu būt vēl lielākām par 41,08. Skat. https://tapportals.mk.gov.lv/annotation/f3c4e0e6-8945-4c63-b245-c97fcd2ae6e8</w:t>
            </w:r>
            <w:r>
              <w:br/>
            </w:r>
            <w:r>
              <w:br/>
              <w:t xml:space="preserve">Grozījumu anotācijas pielikumā precizētā pasu skaita prognozes 2024. gadā ir tikai 176 003. Un kāds ir pelnījis ordeni par "uzcītību" – noteiktā nodevas ieņēmumu minimālā summa 6 088 527 eiro pārsniegta par 1 543 886 eiro un ir 7 632 413 eiro (pie tam ar </w:t>
            </w:r>
            <w:proofErr w:type="spellStart"/>
            <w:r>
              <w:t>koriģējošp</w:t>
            </w:r>
            <w:proofErr w:type="spellEnd"/>
            <w:r>
              <w:t xml:space="preserve"> neizpildes riska koeficientu 0,9), lai arī izsniegto pasu skaita prognoze samazināta divas reizes. Skat. https://tapportals.mk.gov.lv/annotation/f3c4e0e6-8945-4c63-b245-c97fcd2ae6e8/download/7b89b9d8-8ce0-4f6c-837a-e1a32b7c9288</w:t>
            </w:r>
            <w:r>
              <w:br/>
            </w:r>
            <w:r>
              <w:br/>
              <w:t>Ņemot vērā precizētā pasu skaita samazinājumu vairāk nekā 2 reizes, būtu jāgroza MK rīkojumu Nr. 347 un atbilstoši jāsamazina paredzētie obligātie ieņēmumi par pasu izsniegšanu un korekti jāuzraksta tabula Nodevas par pasu izsniegšanu apmēra aprēķins iesniegto grozījumu anotācijā.</w:t>
            </w:r>
            <w:r>
              <w:br/>
            </w:r>
          </w:p>
        </w:tc>
        <w:tc>
          <w:tcPr>
            <w:tcW w:w="2127" w:type="dxa"/>
            <w:shd w:val="clear" w:color="auto" w:fill="FFFFFF"/>
            <w:noWrap/>
            <w:tcMar>
              <w:top w:w="75" w:type="dxa"/>
              <w:left w:w="75" w:type="dxa"/>
              <w:bottom w:w="75" w:type="dxa"/>
              <w:right w:w="75" w:type="dxa"/>
            </w:tcMar>
            <w:vAlign w:val="center"/>
          </w:tcPr>
          <w:p w:rsidR="004A6F50" w:rsidRDefault="00F24A46" w:rsidP="00F24A46">
            <w:pPr>
              <w:jc w:val="center"/>
            </w:pPr>
            <w:r>
              <w:t>Ņemts vērā</w:t>
            </w:r>
          </w:p>
        </w:tc>
        <w:tc>
          <w:tcPr>
            <w:tcW w:w="4427" w:type="dxa"/>
            <w:shd w:val="clear" w:color="auto" w:fill="FFFFFF"/>
            <w:noWrap/>
            <w:tcMar>
              <w:top w:w="75" w:type="dxa"/>
              <w:left w:w="75" w:type="dxa"/>
              <w:bottom w:w="75" w:type="dxa"/>
              <w:right w:w="75" w:type="dxa"/>
            </w:tcMar>
            <w:vAlign w:val="center"/>
          </w:tcPr>
          <w:p w:rsidR="004A6F50" w:rsidRDefault="00BC0B96" w:rsidP="00004B17">
            <w:pPr>
              <w:jc w:val="center"/>
            </w:pPr>
            <w:r>
              <w:t xml:space="preserve">Skat. </w:t>
            </w:r>
            <w:proofErr w:type="spellStart"/>
            <w:r>
              <w:t>atb</w:t>
            </w:r>
            <w:proofErr w:type="spellEnd"/>
            <w:r>
              <w:t>. uz 1.iebildumu</w:t>
            </w:r>
          </w:p>
        </w:tc>
      </w:tr>
      <w:tr w:rsidR="004A6F50" w:rsidTr="00F24A46">
        <w:tc>
          <w:tcPr>
            <w:tcW w:w="750" w:type="dxa"/>
            <w:shd w:val="clear" w:color="auto" w:fill="FFFFFF"/>
            <w:noWrap/>
            <w:tcMar>
              <w:top w:w="75" w:type="dxa"/>
              <w:left w:w="75" w:type="dxa"/>
              <w:bottom w:w="75" w:type="dxa"/>
              <w:right w:w="75" w:type="dxa"/>
            </w:tcMar>
            <w:vAlign w:val="center"/>
          </w:tcPr>
          <w:p w:rsidR="004A6F50" w:rsidRDefault="00BC0B96">
            <w:pPr>
              <w:jc w:val="center"/>
            </w:pPr>
            <w:r>
              <w:t>12.</w:t>
            </w:r>
          </w:p>
        </w:tc>
        <w:tc>
          <w:tcPr>
            <w:tcW w:w="2302" w:type="dxa"/>
            <w:shd w:val="clear" w:color="auto" w:fill="FFFFFF"/>
            <w:noWrap/>
            <w:tcMar>
              <w:top w:w="75" w:type="dxa"/>
              <w:left w:w="75" w:type="dxa"/>
              <w:bottom w:w="75" w:type="dxa"/>
              <w:right w:w="75" w:type="dxa"/>
            </w:tcMar>
            <w:vAlign w:val="center"/>
          </w:tcPr>
          <w:p w:rsidR="004A6F50" w:rsidRDefault="00BC0B96">
            <w:pPr>
              <w:jc w:val="left"/>
            </w:pPr>
            <w:r>
              <w:t>Fiziska persona</w:t>
            </w:r>
          </w:p>
        </w:tc>
        <w:tc>
          <w:tcPr>
            <w:tcW w:w="4961" w:type="dxa"/>
            <w:shd w:val="clear" w:color="auto" w:fill="FFFFFF"/>
            <w:noWrap/>
            <w:tcMar>
              <w:top w:w="75" w:type="dxa"/>
              <w:left w:w="75" w:type="dxa"/>
              <w:bottom w:w="75" w:type="dxa"/>
              <w:right w:w="75" w:type="dxa"/>
            </w:tcMar>
            <w:vAlign w:val="center"/>
          </w:tcPr>
          <w:p w:rsidR="004A6F50" w:rsidRDefault="00BC0B96">
            <w:pPr>
              <w:jc w:val="left"/>
            </w:pPr>
            <w:r w:rsidRPr="00503CF1">
              <w:t>Piedāvāju samazināt štata vietas PMLP tādā apmērā, lai ietaupītie līdzekļi nosedz pases cenu pieaugumu.</w:t>
            </w:r>
          </w:p>
        </w:tc>
        <w:tc>
          <w:tcPr>
            <w:tcW w:w="2127" w:type="dxa"/>
            <w:shd w:val="clear" w:color="auto" w:fill="FFFFFF"/>
            <w:noWrap/>
            <w:tcMar>
              <w:top w:w="75" w:type="dxa"/>
              <w:left w:w="75" w:type="dxa"/>
              <w:bottom w:w="75" w:type="dxa"/>
              <w:right w:w="75" w:type="dxa"/>
            </w:tcMar>
            <w:vAlign w:val="center"/>
          </w:tcPr>
          <w:p w:rsidR="004A6F50" w:rsidRDefault="00F24A46" w:rsidP="00F2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Nav ņemts vērā</w:t>
            </w:r>
          </w:p>
          <w:p w:rsidR="00F24A46" w:rsidRDefault="00F24A46" w:rsidP="00B9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427" w:type="dxa"/>
            <w:shd w:val="clear" w:color="auto" w:fill="FFFFFF"/>
            <w:noWrap/>
            <w:tcMar>
              <w:top w:w="75" w:type="dxa"/>
              <w:left w:w="75" w:type="dxa"/>
              <w:bottom w:w="75" w:type="dxa"/>
              <w:right w:w="75" w:type="dxa"/>
            </w:tcMar>
            <w:vAlign w:val="center"/>
          </w:tcPr>
          <w:p w:rsidR="00B926E9" w:rsidRPr="00B926E9" w:rsidRDefault="00B926E9" w:rsidP="009F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8"/>
              </w:rPr>
            </w:pPr>
            <w:r w:rsidRPr="00B926E9">
              <w:rPr>
                <w:color w:val="auto"/>
                <w:szCs w:val="28"/>
              </w:rPr>
              <w:t xml:space="preserve">PMLP </w:t>
            </w:r>
            <w:r w:rsidR="00503CF1">
              <w:rPr>
                <w:color w:val="auto"/>
                <w:szCs w:val="28"/>
              </w:rPr>
              <w:t>kapacitātes</w:t>
            </w:r>
            <w:r w:rsidRPr="00B926E9">
              <w:rPr>
                <w:color w:val="auto"/>
                <w:szCs w:val="28"/>
              </w:rPr>
              <w:t xml:space="preserve"> samazināšana neveicinātu pakalpojuma pieejamību klientiem, tādēļ priekšlikums </w:t>
            </w:r>
            <w:r w:rsidR="00432A47">
              <w:rPr>
                <w:color w:val="auto"/>
                <w:szCs w:val="28"/>
              </w:rPr>
              <w:t>nav atbalstāms.</w:t>
            </w:r>
          </w:p>
          <w:p w:rsidR="004A6F50" w:rsidRDefault="004A6F50">
            <w:pPr>
              <w:jc w:val="left"/>
            </w:pPr>
          </w:p>
        </w:tc>
      </w:tr>
    </w:tbl>
    <w:p w:rsidR="00ED5368" w:rsidRDefault="00ED5368"/>
    <w:sectPr w:rsidR="00ED5368">
      <w:headerReference w:type="default" r:id="rId7"/>
      <w:footerReference w:type="default" r:id="rId8"/>
      <w:headerReference w:type="first" r:id="rId9"/>
      <w:footerReference w:type="first" r:id="rId10"/>
      <w:pgSz w:w="16833" w:h="11908" w:orient="landscape"/>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12" w:rsidRDefault="00D31E12">
      <w:r>
        <w:separator/>
      </w:r>
    </w:p>
  </w:endnote>
  <w:endnote w:type="continuationSeparator" w:id="0">
    <w:p w:rsidR="00D31E12" w:rsidRDefault="00D3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atino">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50" w:rsidRDefault="00BC0B96">
    <w:pPr>
      <w:jc w:val="right"/>
    </w:pPr>
    <w:r>
      <w:rPr>
        <w:sz w:val="24"/>
        <w:szCs w:val="24"/>
      </w:rPr>
      <w:fldChar w:fldCharType="begin"/>
    </w:r>
    <w:r>
      <w:rPr>
        <w:sz w:val="24"/>
        <w:szCs w:val="24"/>
      </w:rPr>
      <w:instrText>PAGE</w:instrText>
    </w:r>
    <w:r>
      <w:rPr>
        <w:sz w:val="24"/>
        <w:szCs w:val="24"/>
      </w:rPr>
      <w:fldChar w:fldCharType="separate"/>
    </w:r>
    <w:r w:rsidR="00DB2BC6">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368" w:rsidRDefault="00BC0B96">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12" w:rsidRDefault="00D31E12">
      <w:r>
        <w:separator/>
      </w:r>
    </w:p>
  </w:footnote>
  <w:footnote w:type="continuationSeparator" w:id="0">
    <w:p w:rsidR="00D31E12" w:rsidRDefault="00D3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50" w:rsidRDefault="00BC0B96">
    <w:pPr>
      <w:pStyle w:val="Header"/>
      <w:contextualSpacing w:val="0"/>
    </w:pPr>
    <w:r>
      <w:t>Viedokļu pārskats 23-TA-2426</w:t>
    </w:r>
    <w:r>
      <w:br/>
      <w:t>Izdrukāts 16.01.2024. 09.20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50" w:rsidRDefault="00BC0B96">
    <w:pPr>
      <w:pStyle w:val="Header"/>
      <w:contextualSpacing w:val="0"/>
    </w:pPr>
    <w:r>
      <w:t>Viedokļu pārskats 23-TA-2426</w:t>
    </w:r>
    <w:r>
      <w:br/>
      <w:t>Izdrukāts 16.01.2024. 09.20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50"/>
    <w:rsid w:val="00004B17"/>
    <w:rsid w:val="00432A47"/>
    <w:rsid w:val="004A6F50"/>
    <w:rsid w:val="00503CF1"/>
    <w:rsid w:val="008A6BC4"/>
    <w:rsid w:val="00932C72"/>
    <w:rsid w:val="0098658B"/>
    <w:rsid w:val="009F52EF"/>
    <w:rsid w:val="00A22B85"/>
    <w:rsid w:val="00B04C04"/>
    <w:rsid w:val="00B926E9"/>
    <w:rsid w:val="00BC0B96"/>
    <w:rsid w:val="00D31E12"/>
    <w:rsid w:val="00D64529"/>
    <w:rsid w:val="00DB2BC6"/>
    <w:rsid w:val="00E819EF"/>
    <w:rsid w:val="00ED5368"/>
    <w:rsid w:val="00F24A46"/>
    <w:rsid w:val="00F770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2A55"/>
  <w15:docId w15:val="{68C4B058-41E1-4706-B6BC-C476728D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rFonts w:ascii="Arial" w:eastAsia="Arial" w:hAnsi="Arial" w:cs="Arial"/>
      <w:b/>
      <w:sz w:val="26"/>
    </w:rPr>
  </w:style>
  <w:style w:type="paragraph" w:styleId="Heading3">
    <w:name w:val="heading 3"/>
    <w:basedOn w:val="Normal"/>
    <w:next w:val="Normal"/>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rFonts w:ascii="Arial" w:eastAsia="Arial" w:hAnsi="Arial" w:cs="Arial"/>
      <w:b/>
      <w:sz w:val="22"/>
    </w:rPr>
  </w:style>
  <w:style w:type="paragraph" w:styleId="Heading6">
    <w:name w:val="heading 6"/>
    <w:basedOn w:val="Normal"/>
    <w:next w:val="Normal"/>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paragraph" w:customStyle="1" w:styleId="boldparagraphheader">
    <w:name w:val="bold_paragraph_header"/>
    <w:basedOn w:val="Normal"/>
    <w:next w:val="Normal"/>
    <w:pPr>
      <w:contextualSpacing/>
      <w:jc w:val="center"/>
    </w:pPr>
    <w:rPr>
      <w:b/>
    </w:rPr>
  </w:style>
  <w:style w:type="table" w:customStyle="1" w:styleId="a">
    <w:basedOn w:val="TableNormal"/>
    <w:tblPr>
      <w:tblStyleRowBandSize w:val="1"/>
      <w:tblStyleColBandSize w:val="1"/>
    </w:tblPr>
  </w:style>
  <w:style w:type="character" w:styleId="Emphasis">
    <w:name w:val="Emphasis"/>
    <w:basedOn w:val="DefaultParagraphFont"/>
    <w:uiPriority w:val="20"/>
    <w:qFormat/>
    <w:rsid w:val="00B926E9"/>
    <w:rPr>
      <w:i/>
      <w:iCs/>
    </w:rPr>
  </w:style>
  <w:style w:type="character" w:customStyle="1" w:styleId="scayt-misspell-word">
    <w:name w:val="scayt-misspell-word"/>
    <w:basedOn w:val="DefaultParagraphFont"/>
    <w:rsid w:val="00B926E9"/>
  </w:style>
  <w:style w:type="paragraph" w:styleId="BalloonText">
    <w:name w:val="Balloon Text"/>
    <w:basedOn w:val="Normal"/>
    <w:link w:val="BalloonTextChar"/>
    <w:uiPriority w:val="99"/>
    <w:semiHidden/>
    <w:unhideWhenUsed/>
    <w:rsid w:val="00D64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29"/>
    <w:rPr>
      <w:rFonts w:ascii="Segoe UI" w:hAnsi="Segoe UI" w:cs="Segoe UI"/>
      <w:sz w:val="18"/>
      <w:szCs w:val="18"/>
    </w:rPr>
  </w:style>
  <w:style w:type="character" w:styleId="Hyperlink">
    <w:name w:val="Hyperlink"/>
    <w:basedOn w:val="DefaultParagraphFont"/>
    <w:uiPriority w:val="99"/>
    <w:unhideWhenUsed/>
    <w:rsid w:val="00D64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95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gov.lv/lv/110100-pilsonibas-un-migracijas-lietu-parvalde-2023gad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12508</Words>
  <Characters>7131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viedoklu_parskats_23-TA-2426.docx</vt:lpstr>
    </vt:vector>
  </TitlesOfParts>
  <Company>LR IEM IC Zemgale</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viedoklu_parskats_23-TA-2426.docx</dc:title>
  <dc:creator>Marta Zvaune</dc:creator>
  <cp:lastModifiedBy>Kristīne Gulbe</cp:lastModifiedBy>
  <cp:revision>5</cp:revision>
  <dcterms:created xsi:type="dcterms:W3CDTF">2024-01-17T06:42:00Z</dcterms:created>
  <dcterms:modified xsi:type="dcterms:W3CDTF">2024-01-17T10:25:00Z</dcterms:modified>
</cp:coreProperties>
</file>